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360" w:lineRule="auto"/>
        <w:ind w:right="-170"/>
        <w:jc w:val="center"/>
        <w:rPr>
          <w:rFonts w:hint="default" w:ascii="宋体" w:hAnsi="宋体" w:eastAsia="宋体"/>
          <w:b/>
          <w:bCs/>
          <w:sz w:val="46"/>
          <w:szCs w:val="48"/>
          <w:highlight w:val="none"/>
          <w:lang w:val="en-US" w:eastAsia="zh-CN"/>
        </w:rPr>
      </w:pPr>
      <w:r>
        <w:rPr>
          <w:rFonts w:hint="eastAsia" w:ascii="宋体" w:hAnsi="宋体"/>
          <w:b/>
          <w:bCs/>
          <w:spacing w:val="-6"/>
          <w:sz w:val="52"/>
          <w:szCs w:val="48"/>
          <w:highlight w:val="none"/>
          <w:lang w:val="en-US" w:eastAsia="zh-CN"/>
        </w:rPr>
        <w:t>烟台市蓬莱区应急广播项目采购公告</w:t>
      </w: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default" w:ascii="宋体" w:hAnsi="宋体" w:eastAsia="宋体"/>
          <w:bCs/>
          <w:sz w:val="28"/>
          <w:lang w:val="en-US" w:eastAsia="zh-CN"/>
        </w:rPr>
      </w:pPr>
      <w:r>
        <w:rPr>
          <w:rFonts w:hint="eastAsia" w:ascii="宋体" w:hAnsi="宋体"/>
          <w:bCs/>
          <w:sz w:val="28"/>
        </w:rPr>
        <w:t>采 购 人：</w:t>
      </w:r>
      <w:r>
        <w:rPr>
          <w:rFonts w:hint="eastAsia" w:ascii="宋体" w:hAnsi="宋体"/>
          <w:bCs/>
          <w:sz w:val="28"/>
          <w:lang w:val="en-US" w:eastAsia="zh-CN"/>
        </w:rPr>
        <w:t>河北长城新媒体科技有限公司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2</w:t>
      </w:r>
      <w:r>
        <w:rPr>
          <w:rFonts w:hint="eastAsia" w:ascii="宋体" w:hAnsi="宋体"/>
          <w:bCs/>
          <w:sz w:val="28"/>
        </w:rPr>
        <w:t>年</w:t>
      </w:r>
      <w:r>
        <w:rPr>
          <w:rFonts w:hint="eastAsia" w:ascii="宋体" w:hAnsi="宋体"/>
          <w:bCs/>
          <w:sz w:val="28"/>
          <w:lang w:val="en-US" w:eastAsia="zh-CN"/>
        </w:rPr>
        <w:t>11</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rPr>
          <w:rFonts w:hint="eastAsia" w:ascii="Tahoma" w:hAnsi="Tahoma" w:cs="Tahoma"/>
          <w:b/>
          <w:bCs/>
          <w:i w:val="0"/>
          <w:caps w:val="0"/>
          <w:color w:val="4F4F4F"/>
          <w:spacing w:val="0"/>
          <w:sz w:val="40"/>
          <w:szCs w:val="40"/>
          <w:shd w:val="clear" w:color="auto" w:fill="FFFFFF"/>
          <w:lang w:val="en-US" w:eastAsia="zh-CN"/>
        </w:rPr>
      </w:pPr>
      <w:r>
        <w:rPr>
          <w:rFonts w:hint="eastAsia" w:ascii="Tahoma" w:hAnsi="Tahoma" w:cs="Tahoma"/>
          <w:b/>
          <w:bCs/>
          <w:i w:val="0"/>
          <w:caps w:val="0"/>
          <w:color w:val="4F4F4F"/>
          <w:spacing w:val="0"/>
          <w:sz w:val="40"/>
          <w:szCs w:val="40"/>
          <w:shd w:val="clear" w:color="auto" w:fill="FFFFFF"/>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一、询价采购公告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采购人名称：</w:t>
      </w:r>
      <w:r>
        <w:rPr>
          <w:rFonts w:hint="eastAsia" w:ascii="Tahoma" w:hAnsi="Tahoma" w:cs="Tahoma"/>
          <w:i w:val="0"/>
          <w:caps w:val="0"/>
          <w:color w:val="4F4F4F"/>
          <w:spacing w:val="0"/>
          <w:sz w:val="24"/>
          <w:szCs w:val="24"/>
          <w:shd w:val="clear" w:color="auto" w:fill="FFFFFF"/>
          <w:lang w:val="en-US" w:eastAsia="zh-CN"/>
        </w:rPr>
        <w:t>河北长城新媒体科技有限公司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项目名称：</w:t>
      </w:r>
      <w:r>
        <w:rPr>
          <w:rFonts w:hint="eastAsia" w:ascii="宋体" w:hAnsi="宋体" w:cs="宋体"/>
          <w:i w:val="0"/>
          <w:caps w:val="0"/>
          <w:color w:val="4F4F4F"/>
          <w:spacing w:val="0"/>
          <w:sz w:val="24"/>
          <w:szCs w:val="24"/>
          <w:shd w:val="clear" w:color="auto" w:fill="FFFFFF"/>
          <w:lang w:val="en-US" w:eastAsia="zh-CN"/>
        </w:rPr>
        <w:t>烟台市蓬莱区应急广播项目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rPr>
        <w:t>项目预算金额：应急广播平台设备</w:t>
      </w:r>
      <w:r>
        <w:rPr>
          <w:rFonts w:hint="eastAsia" w:ascii="宋体" w:hAnsi="宋体" w:cs="宋体"/>
          <w:i w:val="0"/>
          <w:caps w:val="0"/>
          <w:color w:val="4F4F4F"/>
          <w:spacing w:val="0"/>
          <w:sz w:val="24"/>
          <w:szCs w:val="24"/>
          <w:shd w:val="clear" w:color="auto" w:fill="FFFFFF"/>
          <w:lang w:val="en-US" w:eastAsia="zh-CN"/>
        </w:rPr>
        <w:t>115万元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rPr>
        <w:t>采购方式：</w:t>
      </w:r>
      <w:r>
        <w:rPr>
          <w:rFonts w:hint="eastAsia" w:ascii="宋体" w:hAnsi="宋体" w:cs="宋体"/>
          <w:i w:val="0"/>
          <w:caps w:val="0"/>
          <w:color w:val="4F4F4F"/>
          <w:spacing w:val="0"/>
          <w:sz w:val="24"/>
          <w:szCs w:val="24"/>
          <w:shd w:val="clear" w:color="auto" w:fill="FFFFFF"/>
          <w:lang w:val="en-US" w:eastAsia="zh-CN"/>
        </w:rPr>
        <w:t>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rPr>
        <w:t>采购内容：</w:t>
      </w:r>
      <w:r>
        <w:rPr>
          <w:rFonts w:hint="eastAsia" w:ascii="宋体" w:hAnsi="宋体" w:cs="宋体"/>
          <w:i w:val="0"/>
          <w:caps w:val="0"/>
          <w:color w:val="4F4F4F"/>
          <w:spacing w:val="0"/>
          <w:sz w:val="24"/>
          <w:szCs w:val="24"/>
          <w:shd w:val="clear" w:color="auto" w:fill="FFFFFF"/>
          <w:lang w:val="en-US" w:eastAsia="zh-CN"/>
        </w:rPr>
        <w:t>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6.</w:t>
      </w:r>
      <w:r>
        <w:rPr>
          <w:rFonts w:hint="eastAsia" w:ascii="宋体" w:hAnsi="宋体" w:eastAsia="宋体" w:cs="宋体"/>
          <w:i w:val="0"/>
          <w:caps w:val="0"/>
          <w:color w:val="4F4F4F"/>
          <w:spacing w:val="0"/>
          <w:sz w:val="24"/>
          <w:szCs w:val="24"/>
          <w:shd w:val="clear" w:color="auto" w:fill="FFFFFF"/>
        </w:rPr>
        <w:t>项目实施地点、</w:t>
      </w:r>
      <w:r>
        <w:rPr>
          <w:rFonts w:hint="eastAsia" w:ascii="宋体" w:hAnsi="宋体" w:cs="宋体"/>
          <w:i w:val="0"/>
          <w:caps w:val="0"/>
          <w:color w:val="4F4F4F"/>
          <w:spacing w:val="0"/>
          <w:sz w:val="24"/>
          <w:szCs w:val="24"/>
          <w:shd w:val="clear" w:color="auto" w:fill="FFFFFF"/>
          <w:lang w:val="en-US" w:eastAsia="zh-CN"/>
        </w:rPr>
        <w:t>期限</w:t>
      </w:r>
      <w:r>
        <w:rPr>
          <w:rFonts w:hint="eastAsia" w:ascii="宋体" w:hAnsi="宋体" w:eastAsia="宋体" w:cs="宋体"/>
          <w:i w:val="0"/>
          <w:caps w:val="0"/>
          <w:color w:val="4F4F4F"/>
          <w:spacing w:val="0"/>
          <w:sz w:val="24"/>
          <w:szCs w:val="24"/>
          <w:shd w:val="clear" w:color="auto" w:fill="FFFFFF"/>
        </w:rPr>
        <w:t>：</w:t>
      </w:r>
      <w:r>
        <w:rPr>
          <w:rFonts w:hint="eastAsia" w:ascii="宋体" w:hAnsi="宋体" w:cs="宋体"/>
          <w:i w:val="0"/>
          <w:caps w:val="0"/>
          <w:color w:val="4F4F4F"/>
          <w:spacing w:val="0"/>
          <w:sz w:val="24"/>
          <w:szCs w:val="24"/>
          <w:shd w:val="clear" w:color="auto" w:fill="FFFFFF"/>
          <w:lang w:val="en-US" w:eastAsia="zh-CN"/>
        </w:rPr>
        <w:t>运送至甲方指定地点，15天内完成设备供货。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在中国境内依法注册的法人或其他经济组织，具有与本次招标内容相适应的经营范围和能力；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4F4F4F"/>
          <w:spacing w:val="0"/>
          <w:sz w:val="24"/>
          <w:szCs w:val="24"/>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三、投标文件递交：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shd w:val="clear" w:color="auto" w:fill="FFFFFF"/>
        </w:rPr>
      </w:pPr>
      <w:r>
        <w:rPr>
          <w:rFonts w:hint="eastAsia" w:ascii="宋体" w:hAnsi="宋体" w:eastAsia="宋体" w:cs="宋体"/>
          <w:i w:val="0"/>
          <w:caps w:val="0"/>
          <w:color w:val="4F4F4F"/>
          <w:spacing w:val="0"/>
          <w:sz w:val="24"/>
          <w:szCs w:val="24"/>
          <w:highlight w:val="none"/>
          <w:shd w:val="clear" w:color="auto" w:fill="FFFFFF"/>
          <w:lang w:val="en-US" w:eastAsia="zh-CN"/>
        </w:rPr>
        <w:t>公告</w:t>
      </w:r>
      <w:r>
        <w:rPr>
          <w:rFonts w:hint="eastAsia" w:ascii="宋体" w:hAnsi="宋体" w:eastAsia="宋体" w:cs="宋体"/>
          <w:i w:val="0"/>
          <w:caps w:val="0"/>
          <w:color w:val="4F4F4F"/>
          <w:spacing w:val="0"/>
          <w:sz w:val="24"/>
          <w:szCs w:val="24"/>
          <w:highlight w:val="none"/>
          <w:shd w:val="clear" w:color="auto" w:fill="FFFFFF"/>
        </w:rPr>
        <w:t>时间：202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11</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1</w:t>
      </w:r>
      <w:r>
        <w:rPr>
          <w:rFonts w:hint="eastAsia" w:ascii="宋体" w:hAnsi="宋体" w:eastAsia="宋体" w:cs="宋体"/>
          <w:i w:val="0"/>
          <w:caps w:val="0"/>
          <w:color w:val="4F4F4F"/>
          <w:spacing w:val="0"/>
          <w:sz w:val="24"/>
          <w:szCs w:val="24"/>
          <w:highlight w:val="none"/>
          <w:shd w:val="clear" w:color="auto" w:fill="FFFFFF"/>
        </w:rPr>
        <w:t>日——202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11</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3</w:t>
      </w:r>
      <w:r>
        <w:rPr>
          <w:rFonts w:hint="eastAsia" w:ascii="宋体" w:hAnsi="宋体" w:eastAsia="宋体" w:cs="宋体"/>
          <w:i w:val="0"/>
          <w:caps w:val="0"/>
          <w:color w:val="4F4F4F"/>
          <w:spacing w:val="0"/>
          <w:sz w:val="24"/>
          <w:szCs w:val="24"/>
          <w:highlight w:val="none"/>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rPr>
      </w:pPr>
      <w:r>
        <w:rPr>
          <w:rFonts w:hint="eastAsia" w:ascii="宋体" w:hAnsi="宋体" w:eastAsia="宋体" w:cs="宋体"/>
          <w:i w:val="0"/>
          <w:caps w:val="0"/>
          <w:color w:val="4F4F4F"/>
          <w:spacing w:val="0"/>
          <w:sz w:val="24"/>
          <w:szCs w:val="24"/>
          <w:highlight w:val="none"/>
          <w:shd w:val="clear" w:color="auto" w:fill="FFFFFF"/>
        </w:rPr>
        <w:t>开标时间：202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11</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4</w:t>
      </w:r>
      <w:r>
        <w:rPr>
          <w:rFonts w:hint="eastAsia" w:ascii="宋体" w:hAnsi="宋体" w:eastAsia="宋体" w:cs="宋体"/>
          <w:i w:val="0"/>
          <w:caps w:val="0"/>
          <w:color w:val="4F4F4F"/>
          <w:spacing w:val="0"/>
          <w:sz w:val="24"/>
          <w:szCs w:val="24"/>
          <w:highlight w:val="none"/>
          <w:shd w:val="clear" w:color="auto" w:fill="FFFFFF"/>
        </w:rPr>
        <w:t xml:space="preserve">日 </w:t>
      </w:r>
      <w:r>
        <w:rPr>
          <w:rFonts w:hint="eastAsia" w:ascii="宋体" w:hAnsi="宋体" w:cs="宋体"/>
          <w:i w:val="0"/>
          <w:caps w:val="0"/>
          <w:color w:val="4F4F4F"/>
          <w:spacing w:val="0"/>
          <w:sz w:val="24"/>
          <w:szCs w:val="24"/>
          <w:highlight w:val="none"/>
          <w:shd w:val="clear" w:color="auto" w:fill="FFFFFF"/>
          <w:lang w:val="en-US" w:eastAsia="zh-CN"/>
        </w:rPr>
        <w:t>10</w:t>
      </w:r>
      <w:r>
        <w:rPr>
          <w:rFonts w:hint="eastAsia" w:ascii="宋体" w:hAnsi="宋体" w:eastAsia="宋体" w:cs="宋体"/>
          <w:i w:val="0"/>
          <w:caps w:val="0"/>
          <w:color w:val="4F4F4F"/>
          <w:spacing w:val="0"/>
          <w:sz w:val="24"/>
          <w:szCs w:val="24"/>
          <w:highlight w:val="none"/>
          <w:shd w:val="clear" w:color="auto" w:fill="FFFFFF"/>
        </w:rPr>
        <w:t>:</w:t>
      </w:r>
      <w:r>
        <w:rPr>
          <w:rFonts w:hint="eastAsia" w:ascii="宋体" w:hAnsi="宋体" w:cs="宋体"/>
          <w:i w:val="0"/>
          <w:caps w:val="0"/>
          <w:color w:val="4F4F4F"/>
          <w:spacing w:val="0"/>
          <w:sz w:val="24"/>
          <w:szCs w:val="24"/>
          <w:highlight w:val="none"/>
          <w:shd w:val="clear" w:color="auto" w:fill="FFFFFF"/>
          <w:lang w:val="en-US" w:eastAsia="zh-CN"/>
        </w:rPr>
        <w:t>3</w:t>
      </w:r>
      <w:r>
        <w:rPr>
          <w:rFonts w:hint="eastAsia" w:ascii="宋体" w:hAnsi="宋体" w:eastAsia="宋体" w:cs="宋体"/>
          <w:i w:val="0"/>
          <w:caps w:val="0"/>
          <w:color w:val="4F4F4F"/>
          <w:spacing w:val="0"/>
          <w:sz w:val="24"/>
          <w:szCs w:val="24"/>
          <w:highlight w:val="none"/>
          <w:shd w:val="clear" w:color="auto" w:fill="FFFFFF"/>
        </w:rPr>
        <w:t>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rPr>
        <w:t>开标地点：</w:t>
      </w:r>
      <w:r>
        <w:rPr>
          <w:rFonts w:hint="eastAsia" w:ascii="Tahoma" w:hAnsi="Tahoma" w:eastAsia="宋体" w:cs="Tahoma"/>
          <w:i w:val="0"/>
          <w:caps w:val="0"/>
          <w:color w:val="4F4F4F"/>
          <w:spacing w:val="0"/>
          <w:sz w:val="24"/>
          <w:szCs w:val="24"/>
          <w:highlight w:val="none"/>
          <w:shd w:val="clear" w:color="auto" w:fill="FFFFFF"/>
          <w:lang w:val="en-US" w:eastAsia="zh-CN"/>
        </w:rPr>
        <w:t>河北互联网大厦A座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项目</w:t>
      </w:r>
      <w:r>
        <w:rPr>
          <w:rFonts w:hint="eastAsia" w:ascii="宋体" w:hAnsi="宋体" w:eastAsia="宋体" w:cs="宋体"/>
          <w:i w:val="0"/>
          <w:caps w:val="0"/>
          <w:color w:val="4F4F4F"/>
          <w:spacing w:val="0"/>
          <w:sz w:val="24"/>
          <w:szCs w:val="24"/>
          <w:shd w:val="clear" w:color="auto" w:fill="FFFFFF"/>
        </w:rPr>
        <w:t>联系人：</w:t>
      </w:r>
      <w:r>
        <w:rPr>
          <w:rFonts w:hint="eastAsia" w:ascii="宋体" w:hAnsi="宋体" w:eastAsia="宋体" w:cs="宋体"/>
          <w:i w:val="0"/>
          <w:caps w:val="0"/>
          <w:color w:val="4F4F4F"/>
          <w:spacing w:val="0"/>
          <w:sz w:val="24"/>
          <w:szCs w:val="24"/>
          <w:shd w:val="clear" w:color="auto" w:fill="FFFFFF"/>
          <w:lang w:val="en-US" w:eastAsia="zh-CN"/>
        </w:rPr>
        <w:t xml:space="preserve">李先生         </w:t>
      </w:r>
      <w:r>
        <w:rPr>
          <w:rFonts w:hint="eastAsia" w:ascii="宋体" w:hAnsi="宋体" w:eastAsia="宋体" w:cs="宋体"/>
          <w:i w:val="0"/>
          <w:caps w:val="0"/>
          <w:color w:val="4F4F4F"/>
          <w:spacing w:val="0"/>
          <w:sz w:val="24"/>
          <w:szCs w:val="24"/>
          <w:shd w:val="clear" w:color="auto" w:fill="FFFFFF"/>
        </w:rPr>
        <w:t>联系电话：</w:t>
      </w:r>
      <w:r>
        <w:rPr>
          <w:rFonts w:hint="eastAsia" w:ascii="宋体" w:hAnsi="宋体" w:eastAsia="宋体" w:cs="宋体"/>
          <w:i w:val="0"/>
          <w:caps w:val="0"/>
          <w:color w:val="4F4F4F"/>
          <w:spacing w:val="0"/>
          <w:sz w:val="24"/>
          <w:szCs w:val="24"/>
          <w:shd w:val="clear" w:color="auto" w:fill="FFFFFF"/>
          <w:lang w:val="en-US" w:eastAsia="zh-CN"/>
        </w:rPr>
        <w:t>18032662793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监督电话：</w:t>
      </w:r>
      <w:r>
        <w:rPr>
          <w:rFonts w:hint="eastAsia" w:ascii="宋体" w:hAnsi="宋体" w:eastAsia="宋体" w:cs="宋体"/>
          <w:i w:val="0"/>
          <w:caps w:val="0"/>
          <w:color w:val="4F4F4F"/>
          <w:spacing w:val="0"/>
          <w:sz w:val="24"/>
          <w:szCs w:val="24"/>
          <w:shd w:val="clear" w:color="auto" w:fill="FFFFFF"/>
          <w:lang w:val="en-US" w:eastAsia="zh-CN"/>
        </w:rPr>
        <w:t>0311-89863387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本公告发布媒体：</w:t>
      </w:r>
      <w:r>
        <w:rPr>
          <w:rFonts w:hint="eastAsia" w:ascii="宋体" w:hAnsi="宋体" w:eastAsia="宋体" w:cs="宋体"/>
          <w:i w:val="0"/>
          <w:caps w:val="0"/>
          <w:color w:val="4F4F4F"/>
          <w:spacing w:val="0"/>
          <w:sz w:val="24"/>
          <w:szCs w:val="24"/>
          <w:shd w:val="clear" w:color="auto" w:fill="FFFFFF"/>
          <w:lang w:val="en-US" w:eastAsia="zh-CN"/>
        </w:rPr>
        <w:t>长城网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autoSpaceDE w:val="0"/>
        <w:autoSpaceDN w:val="0"/>
        <w:adjustRightInd w:val="0"/>
        <w:spacing w:before="468" w:beforeLines="150"/>
        <w:jc w:val="center"/>
        <w:rPr>
          <w:rFonts w:hint="eastAsia" w:ascii="宋体" w:hAnsi="宋体" w:eastAsia="宋体" w:cs="Times New Roman"/>
          <w:b/>
          <w:bCs/>
          <w:kern w:val="0"/>
          <w:sz w:val="32"/>
          <w:szCs w:val="32"/>
          <w:highlight w:val="none"/>
          <w:lang w:val="en-US" w:eastAsia="zh-CN" w:bidi="ar-SA"/>
        </w:rPr>
      </w:pPr>
      <w:r>
        <w:rPr>
          <w:rFonts w:hint="eastAsia" w:ascii="宋体" w:hAnsi="宋体" w:cs="Times New Roman"/>
          <w:b/>
          <w:bCs/>
          <w:kern w:val="0"/>
          <w:sz w:val="32"/>
          <w:szCs w:val="32"/>
          <w:highlight w:val="none"/>
          <w:lang w:val="en-US" w:eastAsia="zh-CN" w:bidi="ar-SA"/>
        </w:rPr>
        <w:t>二</w:t>
      </w:r>
      <w:r>
        <w:rPr>
          <w:rFonts w:hint="eastAsia" w:ascii="宋体" w:hAnsi="宋体" w:eastAsia="宋体" w:cs="Times New Roman"/>
          <w:b/>
          <w:bCs/>
          <w:kern w:val="0"/>
          <w:sz w:val="32"/>
          <w:szCs w:val="32"/>
          <w:highlight w:val="none"/>
          <w:lang w:val="en-US" w:eastAsia="zh-CN" w:bidi="ar-SA"/>
        </w:rPr>
        <w:t>、采购项目要求</w:t>
      </w:r>
    </w:p>
    <w:p>
      <w:pPr>
        <w:autoSpaceDE w:val="0"/>
        <w:autoSpaceDN w:val="0"/>
        <w:adjustRightInd w:val="0"/>
        <w:spacing w:line="560" w:lineRule="exact"/>
        <w:ind w:firstLine="482" w:firstLineChars="200"/>
        <w:rPr>
          <w:rFonts w:hint="eastAsia" w:ascii="宋体" w:hAnsi="宋体"/>
          <w:b/>
          <w:bCs/>
          <w:color w:val="000000"/>
          <w:sz w:val="24"/>
          <w:szCs w:val="24"/>
          <w:highlight w:val="none"/>
        </w:rPr>
      </w:pPr>
      <w:r>
        <w:rPr>
          <w:rFonts w:hint="eastAsia" w:ascii="宋体" w:hAnsi="宋体"/>
          <w:b/>
          <w:bCs/>
          <w:color w:val="000000"/>
          <w:sz w:val="24"/>
          <w:szCs w:val="24"/>
          <w:highlight w:val="none"/>
        </w:rPr>
        <w:t>一、</w:t>
      </w:r>
      <w:r>
        <w:rPr>
          <w:rFonts w:hint="eastAsia" w:ascii="宋体" w:hAnsi="宋体"/>
          <w:b/>
          <w:bCs/>
          <w:color w:val="000000"/>
          <w:sz w:val="24"/>
          <w:szCs w:val="24"/>
          <w:highlight w:val="none"/>
          <w:lang w:val="en-US" w:eastAsia="zh-CN"/>
        </w:rPr>
        <w:t>采购</w:t>
      </w:r>
      <w:r>
        <w:rPr>
          <w:rFonts w:hint="eastAsia" w:ascii="宋体" w:hAnsi="宋体"/>
          <w:b/>
          <w:bCs/>
          <w:color w:val="000000"/>
          <w:sz w:val="24"/>
          <w:szCs w:val="24"/>
          <w:highlight w:val="none"/>
        </w:rPr>
        <w:t>内容</w:t>
      </w:r>
    </w:p>
    <w:p>
      <w:pPr>
        <w:autoSpaceDE w:val="0"/>
        <w:autoSpaceDN w:val="0"/>
        <w:adjustRightInd w:val="0"/>
        <w:spacing w:line="360" w:lineRule="auto"/>
        <w:ind w:firstLine="480" w:firstLineChars="200"/>
        <w:rPr>
          <w:rFonts w:hint="default" w:ascii="宋体" w:hAnsi="宋体" w:eastAsia="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设备及服务，详见清单</w:t>
      </w:r>
    </w:p>
    <w:p>
      <w:pPr>
        <w:autoSpaceDE w:val="0"/>
        <w:autoSpaceDN w:val="0"/>
        <w:adjustRightIn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二</w:t>
      </w:r>
      <w:r>
        <w:rPr>
          <w:rFonts w:hint="eastAsia" w:ascii="宋体" w:hAnsi="宋体"/>
          <w:b/>
          <w:bCs/>
          <w:sz w:val="24"/>
          <w:szCs w:val="24"/>
          <w:highlight w:val="none"/>
        </w:rPr>
        <w:t>、</w:t>
      </w:r>
      <w:r>
        <w:rPr>
          <w:rFonts w:hint="eastAsia" w:ascii="宋体" w:hAnsi="宋体"/>
          <w:b/>
          <w:bCs/>
          <w:sz w:val="24"/>
          <w:szCs w:val="24"/>
          <w:highlight w:val="none"/>
          <w:lang w:val="en-US" w:eastAsia="zh-CN"/>
        </w:rPr>
        <w:t>采购要求</w:t>
      </w:r>
    </w:p>
    <w:p>
      <w:pPr>
        <w:spacing w:line="240" w:lineRule="auto"/>
        <w:rPr>
          <w:rFonts w:hint="default" w:ascii="宋体" w:hAnsi="宋体" w:eastAsia="宋体" w:cs="宋体"/>
          <w:b/>
          <w:bCs w:val="0"/>
          <w:color w:val="auto"/>
          <w:kern w:val="2"/>
          <w:sz w:val="32"/>
          <w:szCs w:val="32"/>
          <w:highlight w:val="none"/>
          <w:lang w:val="en-US" w:eastAsia="zh-CN" w:bidi="ar-SA"/>
        </w:rPr>
      </w:pPr>
      <w:r>
        <w:rPr>
          <w:rFonts w:hint="eastAsia" w:ascii="宋体" w:hAnsi="宋体" w:eastAsia="宋体" w:cs="宋体"/>
          <w:i w:val="0"/>
          <w:caps w:val="0"/>
          <w:color w:val="4F4F4F"/>
          <w:spacing w:val="0"/>
          <w:sz w:val="24"/>
          <w:szCs w:val="24"/>
          <w:shd w:val="clear" w:color="auto" w:fill="FFFFFF"/>
        </w:rPr>
        <w:t>应急广播平台设备</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制作播发系统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熊猫EBS-CP004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一、信息接入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1、接入信息源管理：对接入信息的信息源的IP地址进行配置管理，系统可以根据该配置过滤掉非信息源接入的信息。</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2、能接收和响应上级应急广播平台发送的应急广播播发的指令，能正确处理未到时、已到时未过期、已过期三种时间指令，并将接收处理结果、播出结果反馈至上级应急广播平台。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能够与应急部门的预警信息发布系统对接，接收应急部门的预警信息发布系统发送的应急广播播发的指令，能正确处理未到时、已到时未过期、已过期的三种时间指令，并将接收处理结果、播出结果反馈至预警信息发布系统。</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二、信息处理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1、对接入的应急信息和应急广播消息依据标准数据协议规范进行信息解析和存储功能；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2、通过系统界面、短信等进行信息提示和告警功能。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三、信息制作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1、能够制作应急消息、日常节目及应急演练消息。</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2、自动文转语功能：具有将应急广播文本内容（汉语）自动转换成语音文件的功能，语音文件格式要求为mp3。</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3、支持录音功能：能够支持在线录音功能。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4、音频文件流化功能：能够将接收到的mp3的音频文件转化成UDP-TS实时流。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5、信息审核功能：能够对制作的应急信息进行审核。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6、媒资管理：能够分类对应急消息发布需要的资源进行存储和管理。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7、信息审核功能：能够对制作的应急信息进行审核。</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四、审核播发</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1、审核播发策略管理：对审核播发策略的管理，包括审核播发策略的新增、修改和删除。审核播发策略主要是根据消息的接入源、消息的类型、消息的级别来设置消息是自动设置还是手动设置。</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审核播发：审核播发包括手动审核播发和自动审核播发，平台制播的消息和外部接入的消息根据审核播发策略来判断是手动审核还是自动审核播发，手动审核播发时可以修改覆盖区域和播发手段。自动审核播发时自动将消息推送至调度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调度控制系统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熊猫EBS-CP004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一、资源管理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资源信息维护：对应急广播系统的资源信息和资源编码信息进行有效的管理维护，具体包括：前端/台站适配、大喇叭县乡村适配、其他应急广播平台（分平台）和应急广播终端等资源。可以对资源进行增删改查以及批量删除等操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2、资源信息导入导出：能够将多种主流文件格式（EXCEL、XML等格式）的资源数据导入导出系统。</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3、资源分布展示：能够在地图上展示各资源的分布状况，并能够在地图上实时展示资源的状态，对运行状态进行监测。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4、资源同步请求：向下级区县平台发送资源同步请求指令。</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5、资源同步上报：支持对选择的资源同步上报到上级平台。</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6、资源信息查询统计：能够按照用户需求，对资源信息进行多维度查询和统计，并提供相关报表数据。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二、调度控制</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1、策略配置：能够根据消息类型、消息级别等进行调度策略配置。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2、预案生成：应能根据发布需求、策略配置匹配相应的调度资源，生成调度预案。</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3、方案生成：能够手工对调度预案进行调整并生成最终的调度方案。</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4、方案管理：能够对生成的方案进行管理。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5、能够根据调度方案对信息进行分发传输。</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6、能够实时监控分发传输的状态。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7、对于分发传输失败的通道可以进行重新分发传输</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三、分发传输</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调度控制数据生成封装：能够根据制作播发和调度控制系统生成的资源调度方案和分发项目要求，按照发布方式和传输通道的不同，适配生成相应的调度控制数据，形成封装后的调度数据，并保存在本地。包括终端唤醒指令生成、平台联动指令生成、数字签名数据和安全指令生成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2、调度控制数据传输：能够将调度控制数据进行分发传输到对应的目标应急广播平台、系统、设备和终端等，能够在传输失败时进行数据重传，并记录数据传输结果日志。</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3、分发传输响应数据接收：能够接收包括应急广播平台、系统、设备和终端等数据接收方返回的响应数据，并和之前发送的数据进行对应。</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4、分发传输状态监控：能够对所有分发传输状态进行监控，对异常情况进行提示和记录。</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四、分析评估</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1、发布进程数据采集和展示功能：能在播发过程中采集系统主要环节的数据，如调频适配、中波适配、地面数字电视适配和已有村村响系统的响应状态，并进行动态展示；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2、事后评估功能：能在发布结束后，对播发覆盖率、播发时效等指标进行评估；</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3、资源状态监测：能够实时对适配资源、终端资源的运行状态进行监测。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4、播发监测：能够实时记录县级适配的播发音频。</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五、统计报表</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1、播发记录查询：支持和响应上级应急广播平台发送的某时间段的播发记录查询指令，并反馈查询结果。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2、播发状态查询：支持和响应上级应急广播平台发送的某条应急广播消息播发状态查询指令，并反馈查询结果。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3、综合查询功能：对应急信息的检索与查询，支持单一条件检索和各种组合条件检索。查询结果可以导出为数据表。</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六、日常值班</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1、信息接入：展示信息接入的消息记录，分为未处理和已处理两类，可以显示信息的详细内容和对应的流程处理。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2、流程处理：按信息接入、调度控制、分发传输、效果评估的顺序进行流程处理。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3、结果呈现：展示某个流程处理完成状态和处理结果、发布范围等。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4、效果评估：以地图的形式展示应急信息的发布范围、调度指挥的发布范围、分发传输的发布范围。</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七、应急管理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1、应急信息管理：对制作完成的应急信息，增加应急信息分类的定义，包括：媒体属性（应急）、应急源、应急类型（气象、交通、灾害）等。按照业务要求，对应急信息进行多维度查询统计。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2、应急资料共享：对于历史应急制播数据通过网络共享给同级和其他制播平台。通过设置共享权限，提供在线关键词检索及下载服务。应急资料描述信息采用XML方式。</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3、应急消息敏感分析：对于正在播发应急消息，进行敏感词分析，记录涉及敏感词的相关应急消息，实时进行系统告警提示。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八、大喇叭管控</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1、日常广播：具备接收、传送中央、省、地区县广播节目的功能；具备日常广播节目源管理、运行图编排和播发管理的功能。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2、语音切播：具备对话筒、电话等播发方式进行管理功能。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3、播发控制：应具备通过控制大喇叭系统前端设备，向所辖区域内大喇叭终端进行广播的功能；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4、设备管理：应具备各级大喇叭前端关键设备和终端的型号、编码、安装地点、工作参数等运维信息的管理功能，根据需要可对设备和终端的编码、频率、音量、开关等配置参数进行远程修改。</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5、运行监控：应具备各级大喇叭前端关键设备和终端运行状态、操作记录等回传信息的接收处理功能。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应急互动指挥系统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熊猫EBS-CP004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1、应急消息综合展示：能够综合展示应急信息从接入、审核调度、分发传输到覆盖的全流程。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2、覆盖效果展示：能够展示应急消息的整体覆盖效果，包括事前、事中和事后三个阶段综合比对和展示。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资源状态展示：在GIS地图上能够展示应急广播平台中用到的各种资源，并能够统计出各资源的在线、离线及故障数量。在GIS地图中以不同的图标显示不同类型的资源，不同颜色的同一个图标区分出资源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应急广播监管考核系统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熊猫EBS-CP004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一、系统运行状态监测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1、调度平台运行状态监测：对各级调度平台运行状态进行监测。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2、传输覆盖资源监测：对应急广播传输覆盖的各通道关键资源运行状态进行监测。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3、终端在线状态监测：对应急广播各类终端在线状态进行监测。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4、运行指标统计汇总：系统运行状态监测提供统计和汇总展示功能。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二、应急广播播发状态监测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1、播发状态监测：对应急广播消息播发状态过程、效率进行监测。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2、播发效果监测：对应急广播消息播发效果进行监测。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3、播发情况统计汇总：统计汇总应急广播消息的播发效果。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三、应急广播资源监管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1、调度平台资源监管：监管调度平台资源的基础配置内容。</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2、传输覆盖资源监管：监管传输覆盖资源的基础配置内容。</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3、终端资源监管：监管各类应急广播终端资源的基础参数。</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4、资源监管内容汇总展示：各类资源监管的统计汇总和展示。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四、应急演练监管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1、应急演练方案监管：对应急演练方案进行监管。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2、应急演练执行监管：对应急广播演练执行过程进行监管。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3、应急演练结果监管：对应急广播演练结果进行记录和管理。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五、日常考核</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1、周期性考核：能够按照月度、季度、年度对各县级应急广播平台、无线应急广播分平台运行维护情况和应急消</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息播发情况进行考核评分评比。</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2、日常运维考核：对各县级的平台、适配、终端的日常运行情况进行考核。</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3、播发覆盖效果考核：对下级平台反馈的应急广播消息的覆盖情况和覆盖效果进行考核。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基础服务系统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熊猫EBS-CP004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基础服务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 权限管理功能：实现对用户、角色、权限的分配和管理功能；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 基础数据维护功能：实现行政区域管理等；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 系统服务管理：支持系统参数配置；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 数据同步管理：具备与上级应急广播平台的对接功能，具有将本平台的未上传的数据同步到上级平台功能。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安全服务系统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熊猫EBS-CP004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证书管理：主要用于对下级（乡镇）系统中的安全模块等数字证书进行管理、注册申请、证书下载等业务，面向区县县级证书安全代理支持联机和脱机两种通讯形式，联机采用HTTP协议，基于XML交换信息报文；脱机形式以XML加密文件的形式与证书安全代理服务端进行信息交换。</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2、证书灌装：证书灌装系统：主要为下级平台安全服务系统和终端安全模块提供证书灌装服务。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密码机：用于应急广播平台间应急广播信息进行数字签名和验签，以现代密码技术为核心的主机安全模块，是一个具有物理安全保护措施的硬件设备，具有自主密钥管理机制，能将密码运算过程封装在其内部完成，为业务系统提供安全的应用层密码服务，包括密钥管理、消息验证、数据加密、签名的产生和验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调频RDS广播应急广播适配器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熊猫EBS-CP001-ADP2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调频广播应急广播适配器，主要对智能应急广播控制信号和音频信号进行收转功能，最终实现对终端设备的远程控制和管理。支持RDS 调频接收、TS 数字接收、IP 数字接收并转发，支持按优先级广播，紧急广播优先播出；支持 FM 的输入并解调；具备本机监听功能，内置监听扬声器，可实时监听广播内容；支持受控电源输出；具备应急广播安全模块接口；具备应急广播模拟音频输出， 支持立体声差分音频信号输出。具备应急广播 RDS 基带信号输出，可直接对接调频发射机 RDS 接口。基带 RDS 输出幅度可进行调节。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（1）符合总局《GDJ 089-2018 应急广播大喇叭系统技术规范》、GD/J 083-2018《应急广播平台接口规范》；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采用硬件方式，具备对加载有国密算法保护的应急广播协议的封装功能。具备对加载有国密算法保护的应急广播协议的接收解析功能。具备对接收到的应急广播消息进行验签，对向下级发送的应急广播表进行签名的功能；处理要求符合GD/J 081—2018</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《应急广播安全保护技术规范 数字签名》。</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（3）实现调频广播的 RDS 应急广播协议封装、适配、发送，包括调频广播 RDS 基带编码、应急广播 RDS 数据生成、RDS 发送， 以及应急广播音频输出功能。信号输出符合GD/J 085—2018《模拟调频应急广播技术规范》。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功能说明  </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（1）具备前面板液晶屏及按键，可查询 IP 地址等主要参数和设备告警状态。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（2）设备配置管理，应急广播业务配置与监测，均可通过浏览器访问操作。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（3）支持以太网接口 100M/1000M，支持 主备 1+1 模式配置。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（4）支持应急广播节目的接收和存储、解码。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（5）支持应急广播指令的接收和存储、分析。</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（6）具备 RS232 或其他接口，可外接其 他应急广播监测设备。</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（7）系统必须具有灵活、先进的备份机制 ，确保安全播出。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（8）具备双电源供电，电源支持交/直流 可选，支持电源模块的热备份及热插拔，在更换电源模块时不会导致业务中断，具备断电直通功能。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（9）设备支持实时告警功能。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（10）设备具有 100Base-T 以太网接口， 可实现基于 SNMP 的集中网络管理。可通过统一网管软件系统的监控管理进行设备配置，并实现通过网管统一集中进行状态监控，并支持软件升级。</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（11）支持与调频发射机自动化系统对接的功能，能从自动化系统中获取发射机工作状态。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（12）支持输出控制指令，控制音频切换 器切换输出应急广播音频节目。 支持 1 路以上 AES 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有线数字电视应急广播适配器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 EBS-CP001-ADP1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可接收上级应急广播平台通过有线数字电视 直 接下发的应急广播消息。</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可接收县级应急广播平台通过 IP 网络发送的应急广播消息。</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信号处理：                      </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1)具备接入、转发外部输入的数字 音频流的功能。                  </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2)具备将正在播出的音频信号进行 输出监听的功能。                </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3)数字化处理。具备将短信、音频 文件、模拟音频转化为 mp3 格式的数 字音频流的功能。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播发控制：</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具备将应急接入、本地接入等信号 进行处理后，根据优先级及播放策 略选择并控制相应通道进行播发， 实现对终端的寻址匹配、开关控制 、音量调整等功能。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本地接入：</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可接入本地播发需求。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1.采用 19 英寸 1U 或 2U 标准机架式设计，插卡式结构；</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2.具有不少于 6 个 RJ45 接口和 4 个 SFP 接口；</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3.具备 1 路串口，接口类型：RS232；</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4.具备 1 路网管 IP 接口，接口类型：RJ45；</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5.具备 2 个 USB 接口，接口类型：USB TypeA；</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6.具备 4 个 ASI 接口，接口类型：BNC；</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7.具备 2 路交流电源输入接口，接口类型：三芯电源插座；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县级应急广播适配器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 EBS-CP002-ADP1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具备输出音频信号及 RDS 指令信号，控制终端进行应急广播消息播发的功能，输出信号符合 GD/J 085—2018 模拟调频应急广播技术规范。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具备输出音频信号及 DTMB/DVB-C 指令信号，控制终端进行应急广播消息播发的功能，输出信号符合 GD/J 087—2018 地面数字电视应急广播技术规范和 GD/J 086—2018 有线数字电视应急广播技术规范。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具备输出音频信号及 IP 指令信号，控制终端进行应急广播消息播发的功能，输出信号符合 GD/J 089—2018 应急广播大喇叭系统技术规范附录 D。</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2、功能要求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可通过前面板液晶屏及按键，对设备 IP 地址、端口号进行设置。支持 U 盘（MPEG-1 Layer2 和 MP3 格式文件）广播、线路广播、话筒广 播，U 盘广播可通过按键选择上下曲。</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具有监听功能：内置监听喇叭，监听音量可调节，具有音频存储功能 （MPEG-1 Layer 2 和 MP3）。</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可设置定时广播（50 组），广播音源可选择话筒广播、U 盘、调频接收、线路输入。</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可在管理平台中对本设备的工作参数配置。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可在管理平台中对本设备进行领用和回收操作。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可在管理平台中控制本设备的工作状态，可以读取本设备的当前状态。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设备本地优先级模式：话筒广播（紧）&gt;IP&gt;DTMB&gt;话筒广播（日常）&gt;U 盘&gt;线路广播。</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支持一键切换为紧急模式。</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集成国密算法芯片，具有签名、验签功能，签名验签《GD/J 081-2018 应急广播安全保护技术规范 数字签名》要求。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支持模块化设计，IP 模块、TS 模块（输出）、4G 通信模块。</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具备本地播发、上级信号接收播发、管理平台控制播发功能。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在相同优先级的情况下，具备本地多音源切换功能。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支持分区域播发控制。</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采用标准机架式硬件设备，不得采用基于服务器的软件设备。</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3、接口要求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具有 1 路 AC220V 可控电源输出，输出功率 1000W。</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具有 1 路及以上音频输出，接口类型：RCA 莲花母座。</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具有 2 路及以上线路音频输入接口，RCA 莲花母座或 BNC。</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话筒输入。</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麦克风输入：具有 1 路麦克风。</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网络接口：RJ45，100M，2 个。12</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RDS 输出接口：BNC，输出幅度 0～1Vp-p 通过旋钮可调，输出阻抗低阻，测试负载 600 欧姆。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ASI 输出接口：BNC 或者 RJ45。</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USB 接口：1 个 USB 接口。</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4、性能要求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信噪比：92.4dB（本设备音频输入输出：线路 0dBu）。</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频响：40Hz～15KHz (±0.09dB)（本设备音频输入输出：线路 0dBu）。</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谐波失真：0.02%</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（本设备音频输入输出：线路 0dBu）。</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音频输出电平：0.775±10%V（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r.m.s）（线路 0dBu）。</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音频输出阻抗：低阻，&lt;100 欧姆。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音频输入阻抗：高阻，&gt;10K 欧姆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FM 输出频率范围：87MHz～108MHz。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节目信号并行播发量（同时播发不同节目的能力）不低于 2 路。</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支持应急广播专用国产密码算法短证书应用；</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支持国产密码算法和通用密码算法的并行应用,支持国产 SM1/SM4等算法；支持国产 SM3 和通用 SHA1/SHA256 等算法；支持国 SM2 和通用RSA(1024 和 2048)等算法；</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采用国家密码管理局批准的硬件芯片实现各类密码算法，保证算法的高安全性，采用 WNG8 物理噪声源芯片产生高质量的真随机数作为密钥，保证密钥的高强度；</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支持对广播消息签名及验证，支持应急广播体系多级联动、支持安全证书链认证；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提供图形化的设备管理客户端软件，可运行于 windows 系统； 管理终端与设备间可通过串口或网口进行连接；</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提供基于 IC 卡的管理机制，采用智能 IC 卡辅助完成设备管理中的身份认证或密钥数据的安全存储；</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支持提供应急广播证书更新、证书信任列表共更新、证书下载等服务；支持通过 WEB 方式登陆控制台，对证书及其相关参数进行配置，以提高服务管理效率；</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密钥或证书备份恢复：支持内部密钥或证书的安全备份和恢复，可实现互备或负载的多台设备间的同步；单台设备证书管理量&gt;5000 张；</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设备签名验签符合《GD/J 081-2018 应急广播安全保护技术规范 数字签名》要求。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监听音箱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 EBS-JT100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1.集接收、放大、播放功能于一体；</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2.内置不小于 4 吋全频扬声器，音量连续可调；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3.采用环保木质外壳；</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 RF 输入：1 路 DVB-C 或 DTMB：F 座（英制 75Ω）；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 IP 输入：RJ45 百兆口；</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 FM 输入接口：公制 F 母座，1 路输入内置 2 分配，配置 2 个调谐器；</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7.接收模式：DVB-C/DTMB-T/IP/FM</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8.音频输出功率:10W；</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9.电源：AC 220V±15%，50/60Hz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10.待机功率：1W；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电话入网网关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 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 MPEG-1 Layer2 音频编码格式标准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 8 组 GSM SIM 卡槽输入</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 1 路 IP 输出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支持音量调节功能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支持液晶&amp;按键操作，网络管理 web 网管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支持远程电话授权及具备强制挂机功能。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内置监听扬声器，高保真信号源监听，自动监听广播。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短信接入网关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 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1.支持短信进行 TTS 的转换；</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2.能够满足实际性能要求；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IP话筒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 EBS-MP174003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1、面板带液晶触摸显示屏。</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2、具有IP基带信号编码功能。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3、具备资源调度管理功能。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4、1路监听输出音源功能，监听音量可调。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5、具备系统参数还原功能。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6、液晶显示状态。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7、具备远程终端控制及系统逻辑寻址。</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8、自动同步实时时钟。</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9、区域码可设置，实现区域内应急广播、日常广播功能。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10、配有RCA、USB接口，接入音源用于日常广播。</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11、支持呼入身份权限识别，通过白名单及密码保障紧急插播安全性。</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12、支持紧急电话、短信接入的存储、查询、导出。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13、本机运行状态实时回传播控中心。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14、支持按键及网管操作。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15、备IP基带信号编码功能。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16、支持单个终端广播，区域终端广播，全部终端广播。</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17、键盘密码锁定功能，锁定时间可调整（0~999秒）。</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18、设备支持远程web参数配置。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19、支持远程网管功能SNMP（V1.0/V2.0）。</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20、支持MP3播放功能。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21、支持U盾数字证书认证、密码认证功能。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22、支持IP回传本机运行状态。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23、具备馈电管理。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24、支持多级自动联播功能。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25、具备面板锁定</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技术参数要求：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1、路RJ45网口及通信速率：自适应10M/100Mbps。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2、1路RS232串口及传输速率：9600 bps。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3、线路音频输入模式：非平衡、左右声道、RCA接口。</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4、线路音频输入阻抗：≥10kΩ不平衡。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5、线路音频输入电平: 0～0.775Vrms。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6、线路音频频率响应：±2dB（80Hz～15KHz）。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7、线路音频失真度≤1%（80Hz～15KHz）。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8、话筒音频输入电平：≥10mV。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9、馈电功率≥600W（AC220V）。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10、工作电压：AC150V~265V。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11、工作温度：-10~+55℃。</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12、存储温度 ：-20~+60℃。</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13、功耗20W。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数字调音台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 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1、单声道话筒接口幻像电源：+48V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2、输出通道：2 路主输出 VN.L008157SY；2 路 REC 输</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出；1 路效果输出；1 路 monitor 输出；1 路立体声耳 机输出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3、频率响应：20~20KHz±1dB</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4、单声通道话筒到主输出最大增益：50dB±3dB</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5、单声通道线路到主输出最大增益：30dB±3dB</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6、立体声声通道线路到主输出最大增益：30dB、3dB(可 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7、通道串音：≥-80dB @ 1KHz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8、信噪比：≥78dB @ 1KHz 0dBu</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9、耳机输出：12dB±1.5dB @ 1KHz 32Ω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10、通道间增益差：≤2dB</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11、失真度：≤0.02% @ 0dB 1KHz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12.单声道通道均衡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GPS北斗双模授时器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熊猫 SYN2101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1.支持同时接收 GPS 信号和北斗导航系统信号</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2.具有自动锁定信号的功能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3.采用高稳恒温晶振，具有低相位噪声和高稳定度</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4.支持时间日期信息显示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5.支持显示北斗和 GPS 信号源个数（卫星个数）</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6.前面板具有告警、信号、GPS、北斗等 LED 指示灯，实时指示设备当前时标等的状态；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7.具有断电记忆配置功能，来电重启恢复（无需重新配置）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8.天线输入接口:BNC 接头，阴型，50Ω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9.网口:10/100M/1000M 自适应以太网接口，RJ45</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10.授时精度：12ns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11.保持精度：（GPS 和北斗信号断开 4 小时）保持精度 0.7us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12.信号接收：同时接收 GPS 信号和北斗导航信号共同提供的时间信息和定时信号，当其中一套系统失效时能转换到另一套系统继续工作；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户外大屏对接适配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 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与现有户外大屏系统对接，通过大屏展示应急广播相关消息内容</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支持平台和移动终端管理；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支持图片和文字播发；</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支持定时播放功能；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支持临时指定播放任务；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支持应急消息自动插播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应急广播信息前置系统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熊猫EBS-CP004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WEB 方式访问县平台服务端，与适配器及县平台软件配合实现以下功能，软件详细功能要求与县平台软件相关功能要求一致。</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（1）信息接入和处理；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（2）资源管理和调度；</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（3）应急广播管理；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（4）本地广播管理；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（5）统计和查询；</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（6）安全管理和运维管理；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（7）可实时监听下级插播内容；</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（8）可查询应急广播插播历史记录；</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（9）GIS 实时地图展示应急广播布署情况，和工作状态；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（10）支持本地媒资采集，可采集直播、文字、本地文件等资源；</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（11）采用国密算法 SM2、SM3 与市平台通信。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IP话筒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 EBS-MP174003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1、面板带液晶触摸显示屏。</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2、具有IP基带信号编码功能。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3、具备资源调度管理功能。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4、1路监听输出音源功能，监听音量可调。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5、具备系统参数还原功能。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6、液晶显示状态。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7、具备远程终端控制及系统逻辑寻址。</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8、自动同步实时时钟。</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9、区域码可设置，实现区域内应急广播、日常广播功能。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10、配有RCA、USB接口，接入音源用于日常广播。</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11、支持呼入身份权限识别，通过白名单及密码保障紧急插播安全性。</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12、支持紧急电话、短信接入的存储、查询、导出。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13、本机运行状态实时回传播控中心。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14、支持按键及网管操作。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15、备IP基带信号编码功能。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16、支持单个终端广播，区域终端广播，全部终端广播。</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17、键盘密码锁定功能，锁定时间可调整（0~999秒）。</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18、设备支持远程web参数配置。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19、支持远程网管功能SNMP（V1.0/V2.0）。</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20、支持MP3播放功能。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21、支持U盾数字证书认证、密码认证功能。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22、支持IP回传本机运行状态。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23、具备馈电管理。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24、支持多级自动联播功能。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25、具备面板锁定</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技术参数要求：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1、路RJ45网口及通信速率：自适应10M/100Mbps。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2、1路RS232串口及传输速率：9600 bps。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3、线路音频输入模式：非平衡、左右声道、RCA接口。</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4、线路音频输入阻抗：≥10kΩ不平衡。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5、线路音频输入电平: 0～0.775Vrms。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6、线路音频频率响应：±2dB（80Hz～15KHz）。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7、线路音频失真度≤1%（80Hz～15KHz）。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8、话筒音频输入电平：≥10mV。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9、馈电功率≥600W（AC220V）。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10、工作电压：AC150V~265V。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11、工作温度：-10~+55℃。</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12、存储温度 ：-20~+60℃。</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13、功耗20W。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监听音箱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 EBS-JT100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1.集接收、放大、播放功能于一体；</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2.内置不小于 4 吋全频扬声器，音量连续可调；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3.采用环保木质外壳；</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 RF 输入：1 路 DVB-C 或 DTMB：F 座（英制 75Ω）；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 IP 输入：RJ45 百兆口；</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 FM 输入接口：公制 F 母座，1 路输入内置 2 分配，配置 2 个调谐器；</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7.接收模式：DVB-C/DTMB-T/IP/FM</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8.音频输出功率:10W；</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9.电源：AC 220V±15%，50/60Hz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10.待机功率：1W；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IP话筒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 EBS-MP174003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1、面板带液晶触摸显示屏。</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2、具有IP基带信号编码功能。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3、具备资源调度管理功能。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4、1路监听输出音源功能，监听音量可调。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5、具备系统参数还原功能。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6、液晶显示状态。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7、具备远程终端控制及系统逻辑寻址。</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8、自动同步实时时钟。</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9、区域码可设置，实现区域内应急广播、日常广播功能。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10、配有RCA、USB接口，接入音源用于日常广播。</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11、支持呼入身份权限识别，通过白名单及密码保障紧急插播安全性。</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12、支持紧急电话、短信接入的存储、查询、导出。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13、本机运行状态实时回传播控中心。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14、支持按键及网管操作。</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15、备IP基带信号编码功能。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16、支持单个终端广播，区域终端广播，全部终端广播。</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17、键盘密码锁定功能，锁定时间可调整（0~999秒）。</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18、设备支持远程web参数配置。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19、支持远程网管功能SNMP（V1.0/V2.0）。</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20、支持MP3播放功能。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21、支持U盾数字证书认证、密码认证功能。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22、支持IP回传本机运行状态。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23、具备馈电管理。</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24、支持多级自动联播功能。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25、具备面板锁定</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技术参数要求：</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1、路RJ45网口及通信速率：自适应10M/100Mbps。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2、1路RS232串口及传输速率：9600 bps。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3、线路音频输入模式：非平衡、左右声道、RCA接口。</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4、线路音频输入阻抗：≥10kΩ不平衡。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5、线路音频输入电平: 0～0.775Vrms。</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6、线路音频频率响应：±2dB（80Hz～15KHz）。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7、线路音频失真度≤1%（80Hz～15KHz）。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8、话筒音频输入电平：≥10mV。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9、馈电功率≥600W（AC220V）。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10、工作电压：AC150V~265V。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11、工作温度：-10~+55℃。</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12、存储温度 ：-20~+60℃。</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13、功耗20W。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监听音箱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 EBS-JT100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1.集接收、放大、播放功能于一体；</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2.内置不小于 4 吋全频扬声器，音量连续可调；</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3.采用环保木质外壳；</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 RF 输入：1 路 DVB-C 或 DTMB：F 座（英制 75Ω）；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 IP 输入：RJ45 百兆口；</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 FM 输入接口：公制 F 母座，1 路输入内置 2 分配，配置 2 个调谐器；</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7.接收模式：DVB-C/DTMB-T/IP/FM</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8.音频输出功率:10W；</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9.电源：AC 220V±15%，50/60Hz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10.待机功率：1W；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多模收扩机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熊猫EBS-EXM173001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1、具备接收IP、DTMB、DVB-C、FM-RDS信号功能；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2、支持任意几种接收模式组合， 第一信号源中断自动切换到第二信号源，第一信号源恢复则自动接收第 源。</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3、默认数字信号优于调频信号， 应急信号优于日常信号。</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4、支持本地或远程在线升级，具备修改失败、升级失败后还原功能。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5、具备数字签名认证功能，支持国密SM2算法。</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6、可将开关机，音量，DTMB/DVB-C、FM接收频率， 本机编码， 输出功率等信息回传到平台；</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7、具备广播断电自动恢复功能。</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8、具备独立音量调节旋钮，日常广播时音量受电位器可调，应急广播时音量自动最大</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9、具有过热、过压、过载保护功能， 故障消失自动恢复。</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10、射频输入口具有防雷保护功能， IP输入口具有隔离变压器防护。</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11、采用防水设计， 外置保险丝座。</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性能指标：</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 DVB-C接收频率范围：115~858MHz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 DTMB接收频率范围： 450~862MHz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 FM接收频率范围：76~108MHz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 DTMB接收灵敏度：≤-88dBm</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 DVB-C接收灵敏度： -78dBm</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 FM接收灵敏度： ≤20dBuV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 音频输出功率： 50W</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 频率响应： ±2dB(100Hz—12KHz)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 谐波失真： ≤1%(1KHz)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 信噪比：60dB</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 工作电压范围： AC:180V～255V，50/60Hz；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 待机功耗： 6W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多模接收音柱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熊猫EBS-SC172000-1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1.具有 DTMB/DVB-C、IP、FM、4G 同时接收、解析、执行应急广播指令的功能。整机模块化设计。</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2.具有一个 FM 射频接口，双 FM 接收芯片， 可同时接收两个调频频率。</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3.具有 MPEG1-layer1/2/3、MPEG2-layer1/2/3、AAC 音频解码功能，解码输出音质清晰、流畅。</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4.可通过应急广播指令对音柱进行管理配置，包括区域编码设置、工作模式设置、回传方式及回传地址设置、音量设置、回传周期、接收射频频率设置等。</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5.采用全频扬声器，播发音频时具有淡入功能，要求音质优美，无明显人耳能分辨的杂音。具有音量调节旋钮调节总输出音量，应急广播或日常广播时，音量大小为软件设定并保存在设备的值。</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6.防尘防水等级达到 IP65 以上。</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7.具有一个 RS232 串口，可本地升级设备控制程序，可扩展 LED 大屏图文显示。</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8.具有一个 RJ45 网口，10/100Mbps 自适应，作为 WEB 网管和数据回传，通过 WEB 网管可对本机进行参数设置、状态查看。</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9.具有应急广播信息上级优先播出、下级优先播出设置功能，默认设置为上级优先，可本地和远程更改设置。</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10.具有恢复出厂设置功能，设备可本地和远程将设备参数重置并恢复到出厂设置状态。</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11.具有断电记忆功能，设备重启后，已保存的参数不丢失。</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12.设备具有接地端子，要求设备能可靠接地。</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 DVB-C接收频率范围：115~858MHz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 DTMB接收频率范围： 450~862MHz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 FM接收频率范围：76~108MHz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 DTMB接收灵敏度：≤-88dBm</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 DVB-C接收灵敏度： ≤-78dBm</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 FM接收灵敏度： ≤20dBuV</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 音频输出功率： 25W</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 频率响应： ±2dB(100Hz—12KHz)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 谐波失真： ≤1%</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 信噪比：≥60dB</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 工作电压范围： AC:180V～255V，50/60Hz；</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 待机功耗： 5W</w:t>
            </w:r>
          </w:p>
        </w:tc>
      </w:tr>
    </w:tbl>
    <w:p>
      <w:pPr>
        <w:spacing w:line="240" w:lineRule="auto"/>
        <w:rPr>
          <w:rFonts w:hint="eastAsia" w:ascii="宋体" w:hAnsi="宋体" w:eastAsia="宋体" w:cs="宋体"/>
          <w:i w:val="0"/>
          <w:caps w:val="0"/>
          <w:color w:val="4F4F4F"/>
          <w:spacing w:val="0"/>
          <w:sz w:val="24"/>
          <w:szCs w:val="24"/>
          <w:shd w:val="clear" w:color="auto" w:fill="FFFFFF"/>
          <w:lang w:val="en-US" w:eastAsia="zh-CN"/>
        </w:rPr>
      </w:pPr>
      <w:bookmarkStart w:id="17" w:name="_GoBack"/>
      <w:bookmarkEnd w:id="17"/>
    </w:p>
    <w:p>
      <w:pPr>
        <w:spacing w:line="240" w:lineRule="auto"/>
        <w:rPr>
          <w:rFonts w:hint="eastAsia" w:ascii="宋体" w:hAnsi="宋体" w:eastAsia="宋体"/>
          <w:b/>
          <w:bCs/>
          <w:sz w:val="32"/>
          <w:szCs w:val="32"/>
          <w:highlight w:val="none"/>
          <w:lang w:val="en-US" w:eastAsia="zh-CN"/>
        </w:rPr>
      </w:pPr>
      <w:r>
        <w:rPr>
          <w:rFonts w:hint="eastAsia" w:ascii="宋体" w:hAnsi="宋体" w:eastAsia="宋体" w:cs="宋体"/>
          <w:b/>
          <w:bCs w:val="0"/>
          <w:color w:val="auto"/>
          <w:kern w:val="2"/>
          <w:sz w:val="32"/>
          <w:szCs w:val="32"/>
          <w:highlight w:val="none"/>
          <w:lang w:val="en-US" w:eastAsia="zh-CN" w:bidi="ar-SA"/>
        </w:rPr>
        <w:t>注：</w:t>
      </w:r>
      <w:r>
        <w:rPr>
          <w:rFonts w:hint="eastAsia" w:ascii="宋体" w:hAnsi="宋体" w:eastAsia="宋体" w:cs="Times New Roman"/>
          <w:b/>
          <w:bCs/>
          <w:kern w:val="0"/>
          <w:sz w:val="32"/>
          <w:szCs w:val="32"/>
          <w:highlight w:val="none"/>
          <w:lang w:val="en-US" w:eastAsia="zh-CN" w:bidi="ar-SA"/>
        </w:rPr>
        <w:t>以上均为重要参数、指标，投标方投标内容低于采购要</w:t>
      </w:r>
      <w:r>
        <w:rPr>
          <w:rFonts w:hint="eastAsia" w:ascii="宋体" w:hAnsi="宋体" w:eastAsia="宋体" w:cs="宋体"/>
          <w:b/>
          <w:bCs w:val="0"/>
          <w:color w:val="auto"/>
          <w:kern w:val="2"/>
          <w:sz w:val="32"/>
          <w:szCs w:val="32"/>
          <w:highlight w:val="none"/>
          <w:lang w:val="en-US" w:eastAsia="zh-CN" w:bidi="ar-SA"/>
        </w:rPr>
        <w:t>求的其投标无效。</w:t>
      </w:r>
    </w:p>
    <w:p>
      <w:pPr>
        <w:pStyle w:val="2"/>
        <w:spacing w:before="0" w:after="0"/>
        <w:ind w:firstLine="643" w:firstLineChars="200"/>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t>三、</w:t>
      </w:r>
      <w:r>
        <w:rPr>
          <w:rFonts w:ascii="宋体" w:hAnsi="宋体" w:eastAsia="宋体"/>
          <w:b/>
          <w:bCs/>
          <w:sz w:val="32"/>
          <w:szCs w:val="32"/>
          <w:highlight w:val="none"/>
        </w:rPr>
        <w:t>响应文件</w:t>
      </w:r>
      <w:r>
        <w:rPr>
          <w:rFonts w:hint="eastAsia" w:ascii="宋体" w:hAnsi="宋体" w:eastAsia="宋体"/>
          <w:b/>
          <w:bCs/>
          <w:sz w:val="32"/>
          <w:szCs w:val="32"/>
          <w:highlight w:val="none"/>
          <w:lang w:val="en-US" w:eastAsia="zh-CN"/>
        </w:rPr>
        <w:t>构成</w:t>
      </w:r>
    </w:p>
    <w:p>
      <w:pPr>
        <w:pStyle w:val="13"/>
        <w:tabs>
          <w:tab w:val="left" w:pos="1681"/>
        </w:tabs>
        <w:spacing w:line="360" w:lineRule="auto"/>
        <w:ind w:left="0" w:leftChars="0" w:firstLine="0" w:firstLineChars="0"/>
        <w:rPr>
          <w:rFonts w:hint="eastAsia" w:ascii="宋体" w:hAnsi="宋体" w:eastAsia="宋体" w:cs="宋体"/>
          <w:b/>
          <w:bCs/>
          <w:sz w:val="32"/>
          <w:szCs w:val="32"/>
          <w:lang w:val="en-US" w:eastAsia="zh-CN"/>
        </w:rPr>
      </w:pPr>
      <w:r>
        <w:rPr>
          <w:rFonts w:hint="eastAsia" w:ascii="宋体" w:hAnsi="宋体"/>
          <w:sz w:val="24"/>
          <w:szCs w:val="24"/>
          <w:highlight w:val="none"/>
        </w:rPr>
        <w:t>（1）法定代表人身份证明书</w:t>
      </w:r>
      <w:r>
        <w:rPr>
          <w:rFonts w:hint="eastAsia" w:ascii="宋体" w:hAnsi="宋体"/>
          <w:sz w:val="24"/>
          <w:szCs w:val="24"/>
          <w:highlight w:val="none"/>
          <w:lang w:eastAsia="zh-CN"/>
        </w:rPr>
        <w:t>、</w:t>
      </w:r>
      <w:r>
        <w:rPr>
          <w:rFonts w:hint="eastAsia" w:ascii="宋体" w:hAnsi="宋体"/>
          <w:sz w:val="24"/>
          <w:szCs w:val="24"/>
          <w:highlight w:val="none"/>
        </w:rPr>
        <w:t>（2）法定代</w:t>
      </w:r>
      <w:r>
        <w:rPr>
          <w:rFonts w:hint="eastAsia" w:ascii="宋体" w:hAnsi="宋体"/>
          <w:sz w:val="24"/>
          <w:szCs w:val="24"/>
        </w:rPr>
        <w:t>表人授权委托书</w:t>
      </w:r>
      <w:r>
        <w:rPr>
          <w:rFonts w:hint="eastAsia" w:ascii="宋体" w:hAnsi="宋体"/>
          <w:sz w:val="24"/>
          <w:szCs w:val="24"/>
          <w:lang w:eastAsia="zh-CN"/>
        </w:rPr>
        <w:t>、</w:t>
      </w:r>
      <w:r>
        <w:rPr>
          <w:rFonts w:hint="eastAsia" w:ascii="宋体" w:hAnsi="宋体"/>
          <w:sz w:val="24"/>
          <w:szCs w:val="24"/>
        </w:rPr>
        <w:t>（3）</w:t>
      </w:r>
      <w:r>
        <w:rPr>
          <w:rFonts w:hint="eastAsia" w:ascii="宋体" w:hAnsi="宋体"/>
          <w:sz w:val="24"/>
          <w:szCs w:val="24"/>
          <w:lang w:eastAsia="zh-CN"/>
        </w:rPr>
        <w:t>报价</w:t>
      </w:r>
      <w:r>
        <w:rPr>
          <w:rFonts w:hint="eastAsia" w:ascii="宋体" w:hAnsi="宋体"/>
          <w:sz w:val="24"/>
          <w:szCs w:val="24"/>
        </w:rPr>
        <w:t>函</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）分项报价明细表</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）资格证明文件</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）企业概况</w:t>
      </w:r>
    </w:p>
    <w:p>
      <w:pPr>
        <w:pStyle w:val="2"/>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仿宋" w:hAnsi="仿宋" w:eastAsia="仿宋" w:cs="仿宋"/>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br w:type="page"/>
      </w:r>
      <w:r>
        <w:rPr>
          <w:rFonts w:hint="eastAsia" w:ascii="宋体" w:hAnsi="宋体" w:eastAsia="宋体" w:cs="宋体"/>
          <w:b/>
          <w:bCs/>
          <w:i w:val="0"/>
          <w:caps w:val="0"/>
          <w:color w:val="4F4F4F"/>
          <w:spacing w:val="0"/>
          <w:sz w:val="24"/>
          <w:szCs w:val="24"/>
          <w:shd w:val="clear" w:color="auto" w:fill="FFFFFF"/>
          <w:lang w:val="en-US" w:eastAsia="zh-CN"/>
        </w:rPr>
        <w:t>附：</w:t>
      </w:r>
      <w:r>
        <w:rPr>
          <w:rFonts w:hint="eastAsia" w:ascii="宋体" w:hAnsi="宋体" w:cs="宋体"/>
          <w:b/>
          <w:bCs/>
          <w:i w:val="0"/>
          <w:caps w:val="0"/>
          <w:color w:val="4F4F4F"/>
          <w:spacing w:val="0"/>
          <w:sz w:val="24"/>
          <w:szCs w:val="24"/>
          <w:shd w:val="clear" w:color="auto" w:fill="FFFFFF"/>
          <w:lang w:val="en-US" w:eastAsia="zh-CN"/>
        </w:rPr>
        <w:t>响应文件要求</w:t>
      </w:r>
      <w:r>
        <w:rPr>
          <w:rFonts w:hint="eastAsia" w:ascii="宋体" w:hAnsi="宋体" w:eastAsia="宋体" w:cs="宋体"/>
          <w:b/>
          <w:bCs/>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仿宋" w:hAnsi="仿宋" w:eastAsia="仿宋" w:cs="仿宋"/>
          <w:i w:val="0"/>
          <w:caps w:val="0"/>
          <w:color w:val="4F4F4F"/>
          <w:spacing w:val="0"/>
          <w:sz w:val="24"/>
          <w:szCs w:val="24"/>
          <w:shd w:val="clear" w:color="auto" w:fill="FFFFFF"/>
          <w:lang w:val="en-US" w:eastAsia="zh-CN"/>
        </w:rPr>
        <w:t xml:space="preserve">           </w:t>
      </w:r>
    </w:p>
    <w:p>
      <w:pPr>
        <w:spacing w:before="468" w:beforeLines="150" w:line="360" w:lineRule="auto"/>
        <w:ind w:right="-170"/>
        <w:jc w:val="center"/>
        <w:rPr>
          <w:rFonts w:hint="default" w:ascii="宋体" w:hAnsi="宋体" w:eastAsia="宋体"/>
          <w:b/>
          <w:bCs/>
          <w:sz w:val="46"/>
          <w:szCs w:val="48"/>
          <w:highlight w:val="none"/>
          <w:lang w:val="en-US" w:eastAsia="zh-CN"/>
        </w:rPr>
      </w:pPr>
      <w:r>
        <w:rPr>
          <w:rFonts w:hint="eastAsia" w:ascii="宋体" w:hAnsi="宋体"/>
          <w:b/>
          <w:bCs/>
          <w:spacing w:val="-6"/>
          <w:sz w:val="52"/>
          <w:szCs w:val="48"/>
          <w:highlight w:val="none"/>
          <w:lang w:val="en-US" w:eastAsia="zh-CN"/>
        </w:rPr>
        <w:t>烟台市蓬莱区应急广播项目采购公告</w:t>
      </w: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供 应 商：</w:t>
      </w:r>
      <w:r>
        <w:rPr>
          <w:rFonts w:hint="eastAsia" w:ascii="宋体" w:hAnsi="宋体"/>
          <w:bCs/>
          <w:sz w:val="28"/>
          <w:u w:val="single"/>
          <w:lang w:eastAsia="zh-CN"/>
        </w:rPr>
        <w:t xml:space="preserve">  </w:t>
      </w:r>
      <w:r>
        <w:rPr>
          <w:rFonts w:hint="eastAsia" w:ascii="宋体" w:hAnsi="宋体"/>
          <w:bCs/>
          <w:sz w:val="28"/>
          <w:u w:val="single"/>
          <w:lang w:val="en-US" w:eastAsia="zh-CN"/>
        </w:rPr>
        <w:t xml:space="preserve">             </w:t>
      </w:r>
      <w:r>
        <w:rPr>
          <w:rFonts w:hint="eastAsia" w:ascii="宋体" w:hAnsi="宋体"/>
          <w:bCs/>
          <w:sz w:val="28"/>
          <w:u w:val="single"/>
          <w:lang w:eastAsia="zh-CN"/>
        </w:rPr>
        <w:t xml:space="preserve">  </w:t>
      </w:r>
      <w:r>
        <w:rPr>
          <w:rFonts w:hint="eastAsia" w:ascii="宋体" w:hAnsi="宋体"/>
          <w:bCs/>
          <w:sz w:val="28"/>
          <w:u w:val="single"/>
        </w:rPr>
        <w:t>（公章）</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lang w:val="en-US" w:eastAsia="zh-CN"/>
        </w:rPr>
        <w:t xml:space="preserve">  年  月  日</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0" w:name="_Toc3253"/>
      <w:bookmarkStart w:id="1" w:name="_Toc16025318"/>
      <w:bookmarkStart w:id="2" w:name="_Toc16025320"/>
      <w:bookmarkStart w:id="3" w:name="_Toc16625"/>
      <w:r>
        <w:rPr>
          <w:rFonts w:hint="eastAsia" w:ascii="宋体" w:hAnsi="宋体"/>
          <w:b/>
          <w:bCs/>
          <w:sz w:val="30"/>
          <w:szCs w:val="30"/>
        </w:rPr>
        <w:t>一、</w:t>
      </w:r>
      <w:bookmarkEnd w:id="0"/>
      <w:bookmarkEnd w:id="1"/>
      <w:bookmarkStart w:id="4" w:name="_Toc18895"/>
      <w:bookmarkStart w:id="5" w:name="_Toc16025319"/>
      <w:r>
        <w:rPr>
          <w:rFonts w:hint="eastAsia" w:ascii="宋体" w:hAnsi="宋体"/>
          <w:b/>
          <w:bCs/>
          <w:sz w:val="30"/>
          <w:szCs w:val="30"/>
        </w:rPr>
        <w:t>法定代表人身份证明书</w:t>
      </w:r>
      <w:bookmarkEnd w:id="4"/>
      <w:bookmarkEnd w:id="5"/>
    </w:p>
    <w:p>
      <w:pPr>
        <w:spacing w:before="156" w:beforeLines="50" w:line="360" w:lineRule="auto"/>
        <w:ind w:firstLine="480" w:firstLineChars="200"/>
        <w:rPr>
          <w:rFonts w:hint="eastAsia" w:ascii="宋体" w:hAnsi="宋体"/>
          <w:color w:val="000000"/>
          <w:sz w:val="24"/>
          <w:szCs w:val="24"/>
          <w:u w:val="single"/>
        </w:rPr>
      </w:pPr>
      <w:bookmarkStart w:id="6"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left="4620" w:leftChars="0" w:firstLine="420" w:firstLineChars="0"/>
        <w:jc w:val="left"/>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（公章）</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6"/>
    <w:p>
      <w:pPr>
        <w:pStyle w:val="3"/>
        <w:rPr>
          <w:rFonts w:hint="eastAsia" w:ascii="宋体" w:hAnsi="宋体"/>
          <w:b/>
          <w:bCs/>
          <w:sz w:val="30"/>
          <w:szCs w:val="30"/>
        </w:rPr>
      </w:pPr>
    </w:p>
    <w:p>
      <w:pPr>
        <w:rPr>
          <w:rFonts w:hint="eastAsia"/>
        </w:rPr>
      </w:pPr>
    </w:p>
    <w:p>
      <w:pPr>
        <w:rPr>
          <w:rFonts w:hint="eastAsia"/>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2"/>
      <w:bookmarkEnd w:id="3"/>
    </w:p>
    <w:p>
      <w:pPr>
        <w:spacing w:before="156" w:beforeLines="50" w:line="360" w:lineRule="auto"/>
        <w:ind w:firstLine="480" w:firstLineChars="200"/>
        <w:rPr>
          <w:rFonts w:hint="eastAsia" w:ascii="宋体" w:hAnsi="宋体"/>
          <w:color w:val="000000"/>
          <w:sz w:val="24"/>
          <w:szCs w:val="24"/>
        </w:rPr>
      </w:pPr>
      <w:bookmarkStart w:id="7"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项目响应文件的法定代表人授权委托代理人，我承认代理人全权代表我所签署的本项目响应文件的全部内容。</w:t>
      </w:r>
    </w:p>
    <w:p>
      <w:pPr>
        <w:pStyle w:val="5"/>
        <w:rPr>
          <w:rFonts w:hint="default" w:eastAsia="宋体"/>
          <w:lang w:val="en-US" w:eastAsia="zh-CN"/>
        </w:rPr>
      </w:pPr>
      <w:r>
        <w:rPr>
          <w:rFonts w:hint="eastAsia" w:ascii="宋体" w:hAnsi="宋体"/>
          <w:color w:val="000000"/>
          <w:sz w:val="24"/>
          <w:szCs w:val="24"/>
          <w:lang w:eastAsia="zh-CN"/>
        </w:rPr>
        <w:t>授权期限：</w:t>
      </w:r>
      <w:r>
        <w:rPr>
          <w:rFonts w:hint="eastAsia" w:ascii="宋体" w:hAnsi="宋体"/>
          <w:color w:val="000000"/>
          <w:sz w:val="24"/>
          <w:szCs w:val="24"/>
          <w:lang w:val="en-US" w:eastAsia="zh-CN"/>
        </w:rPr>
        <w:t xml:space="preserve">   年   月   日至   年   月   日</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left="5040" w:leftChars="0" w:firstLine="420" w:firstLineChars="0"/>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before="468" w:beforeLines="150" w:line="360" w:lineRule="auto"/>
        <w:jc w:val="center"/>
        <w:rPr>
          <w:rFonts w:hint="eastAsia" w:ascii="宋体" w:hAnsi="宋体"/>
          <w:sz w:val="30"/>
          <w:szCs w:val="30"/>
        </w:rPr>
      </w:pPr>
      <w:r>
        <w:rPr>
          <w:rFonts w:ascii="宋体" w:hAnsi="宋体"/>
          <w:b/>
          <w:sz w:val="24"/>
          <w:szCs w:val="24"/>
        </w:rPr>
        <w:br w:type="page"/>
      </w:r>
      <w:bookmarkStart w:id="8" w:name="_Toc16025321"/>
      <w:bookmarkStart w:id="9" w:name="_Toc32234"/>
      <w:r>
        <w:rPr>
          <w:rFonts w:hint="eastAsia" w:ascii="宋体" w:hAnsi="宋体"/>
          <w:b/>
          <w:bCs/>
          <w:sz w:val="30"/>
          <w:szCs w:val="30"/>
        </w:rPr>
        <w:t>三、</w:t>
      </w:r>
      <w:r>
        <w:rPr>
          <w:rFonts w:hint="eastAsia" w:ascii="宋体" w:hAnsi="宋体"/>
          <w:b/>
          <w:bCs/>
          <w:sz w:val="30"/>
          <w:szCs w:val="30"/>
          <w:lang w:eastAsia="zh-CN"/>
        </w:rPr>
        <w:t>报价</w:t>
      </w:r>
      <w:r>
        <w:rPr>
          <w:rFonts w:hint="eastAsia" w:ascii="宋体" w:hAnsi="宋体"/>
          <w:b/>
          <w:bCs/>
          <w:sz w:val="30"/>
          <w:szCs w:val="30"/>
        </w:rPr>
        <w:t>函</w:t>
      </w:r>
      <w:bookmarkEnd w:id="8"/>
      <w:bookmarkEnd w:id="9"/>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lang w:val="en-US" w:eastAsia="zh-CN"/>
        </w:rPr>
        <w:t>XXXXXXXXXXXXX</w:t>
      </w:r>
    </w:p>
    <w:p>
      <w:pPr>
        <w:pStyle w:val="4"/>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rFonts w:hint="eastAsia" w:ascii="宋体" w:hAnsi="宋体"/>
          <w:color w:val="000000"/>
          <w:sz w:val="24"/>
          <w:szCs w:val="24"/>
          <w:u w:val="single"/>
          <w:lang w:val="en-US" w:eastAsia="zh-CN"/>
        </w:rPr>
        <w:t xml:space="preserve">      </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4"/>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w:t>
      </w:r>
      <w:r>
        <w:rPr>
          <w:sz w:val="24"/>
          <w:szCs w:val="24"/>
        </w:rPr>
        <w:t>。</w:t>
      </w:r>
      <w:r>
        <w:rPr>
          <w:rFonts w:hint="eastAsia"/>
          <w:sz w:val="24"/>
          <w:szCs w:val="24"/>
          <w:lang w:eastAsia="zh-CN"/>
        </w:rPr>
        <w:t>我单位承诺本项目总</w:t>
      </w:r>
      <w:r>
        <w:rPr>
          <w:sz w:val="24"/>
          <w:szCs w:val="24"/>
        </w:rPr>
        <w:t>报</w:t>
      </w:r>
      <w:r>
        <w:rPr>
          <w:spacing w:val="12"/>
          <w:sz w:val="24"/>
          <w:szCs w:val="24"/>
        </w:rPr>
        <w:t>价为（大写）：</w:t>
      </w:r>
      <w:r>
        <w:rPr>
          <w:rFonts w:hint="eastAsia"/>
          <w:spacing w:val="12"/>
          <w:sz w:val="24"/>
          <w:szCs w:val="24"/>
          <w:u w:val="single"/>
          <w:lang w:val="en-US" w:eastAsia="zh-CN"/>
        </w:rPr>
        <w:t xml:space="preserve">     </w:t>
      </w:r>
      <w:r>
        <w:rPr>
          <w:rFonts w:hint="eastAsia" w:ascii="宋体" w:hAnsi="宋体" w:eastAsia="宋体" w:cs="宋体"/>
          <w:color w:val="000000"/>
          <w:kern w:val="0"/>
          <w:sz w:val="24"/>
          <w:szCs w:val="24"/>
          <w:lang w:eastAsia="zh-CN" w:bidi="ar"/>
        </w:rPr>
        <w:t>，</w:t>
      </w:r>
      <w:r>
        <w:rPr>
          <w:spacing w:val="12"/>
          <w:sz w:val="24"/>
          <w:szCs w:val="24"/>
        </w:rPr>
        <w:t>(小写：</w:t>
      </w:r>
      <w:r>
        <w:rPr>
          <w:rFonts w:hint="eastAsia"/>
          <w:spacing w:val="12"/>
          <w:sz w:val="24"/>
          <w:szCs w:val="24"/>
          <w:u w:val="single"/>
          <w:lang w:val="en-US" w:eastAsia="zh-CN"/>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6"/>
          <w:sz w:val="24"/>
          <w:szCs w:val="24"/>
          <w:lang w:eastAsia="zh-CN"/>
        </w:rPr>
        <w:t>（或交货期）</w:t>
      </w:r>
      <w:r>
        <w:rPr>
          <w:rFonts w:hint="eastAsia"/>
          <w:spacing w:val="12"/>
          <w:sz w:val="24"/>
          <w:szCs w:val="24"/>
        </w:rPr>
        <w:t>：</w:t>
      </w:r>
      <w:r>
        <w:rPr>
          <w:rFonts w:hint="eastAsia"/>
          <w:spacing w:val="12"/>
          <w:sz w:val="24"/>
          <w:szCs w:val="24"/>
          <w:u w:val="single"/>
          <w:lang w:val="en-US" w:eastAsia="zh-CN"/>
        </w:rPr>
        <w:t xml:space="preserve">     </w:t>
      </w:r>
      <w:r>
        <w:rPr>
          <w:rFonts w:hint="eastAsia"/>
          <w:spacing w:val="12"/>
          <w:sz w:val="24"/>
          <w:szCs w:val="24"/>
          <w:u w:val="single"/>
        </w:rPr>
        <w:t xml:space="preserve"> </w:t>
      </w:r>
      <w:r>
        <w:rPr>
          <w:sz w:val="24"/>
          <w:szCs w:val="24"/>
        </w:rPr>
        <w:t>。</w:t>
      </w:r>
    </w:p>
    <w:p>
      <w:pPr>
        <w:pStyle w:val="4"/>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4"/>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4"/>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lang w:val="en-US" w:eastAsia="zh-CN"/>
        </w:rPr>
        <w:t>30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left="504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left="718" w:leftChars="342" w:firstLine="1200" w:firstLineChars="5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bookmarkStart w:id="10" w:name="_Toc16025323"/>
      <w:bookmarkStart w:id="11" w:name="_Toc16293"/>
      <w:r>
        <w:rPr>
          <w:rFonts w:ascii="宋体" w:hAnsi="宋体"/>
          <w:b w:val="0"/>
          <w:bCs w:val="0"/>
          <w:sz w:val="30"/>
          <w:szCs w:val="30"/>
        </w:rPr>
        <w:br w:type="page"/>
      </w:r>
      <w:bookmarkStart w:id="12" w:name="_Toc15627759"/>
      <w:r>
        <w:rPr>
          <w:rFonts w:hint="eastAsia" w:ascii="宋体" w:hAnsi="宋体"/>
          <w:b/>
          <w:bCs/>
          <w:sz w:val="30"/>
          <w:szCs w:val="30"/>
          <w:lang w:val="en-US" w:eastAsia="zh-CN"/>
        </w:rPr>
        <w:t>四、</w:t>
      </w:r>
      <w:r>
        <w:rPr>
          <w:rFonts w:hint="eastAsia" w:ascii="宋体" w:hAnsi="宋体"/>
          <w:b/>
          <w:bCs/>
          <w:sz w:val="30"/>
          <w:szCs w:val="30"/>
        </w:rPr>
        <w:t>分项报价明细表</w:t>
      </w:r>
      <w:bookmarkEnd w:id="12"/>
      <w:r>
        <w:rPr>
          <w:rFonts w:hint="eastAsia" w:ascii="宋体" w:hAnsi="宋体"/>
          <w:b/>
          <w:bCs/>
          <w:sz w:val="30"/>
          <w:szCs w:val="30"/>
          <w:lang w:eastAsia="zh-CN"/>
        </w:rPr>
        <w:t>（</w:t>
      </w:r>
      <w:r>
        <w:rPr>
          <w:rFonts w:hint="eastAsia" w:ascii="宋体" w:hAnsi="宋体"/>
          <w:b/>
          <w:bCs/>
          <w:sz w:val="30"/>
          <w:szCs w:val="30"/>
          <w:lang w:val="en-US" w:eastAsia="zh-CN"/>
        </w:rPr>
        <w:t>格式自拟</w:t>
      </w:r>
      <w:r>
        <w:rPr>
          <w:rFonts w:hint="eastAsia" w:ascii="宋体" w:hAnsi="宋体"/>
          <w:b/>
          <w:bCs/>
          <w:sz w:val="30"/>
          <w:szCs w:val="30"/>
          <w:lang w:eastAsia="zh-CN"/>
        </w:rPr>
        <w:t>）</w:t>
      </w:r>
    </w:p>
    <w:p>
      <w:pPr>
        <w:pStyle w:val="7"/>
        <w:ind w:firstLine="360" w:firstLineChars="150"/>
        <w:jc w:val="left"/>
        <w:outlineLvl w:val="9"/>
        <w:rPr>
          <w:rFonts w:hint="default" w:ascii="宋体" w:hAnsi="宋体" w:eastAsia="宋体"/>
          <w:b w:val="0"/>
          <w:bCs w:val="0"/>
          <w:sz w:val="24"/>
          <w:szCs w:val="24"/>
          <w:lang w:val="en-US" w:eastAsia="zh-CN"/>
        </w:rPr>
      </w:pPr>
      <w:bookmarkStart w:id="13" w:name="_Toc15627760"/>
      <w:r>
        <w:rPr>
          <w:rFonts w:hint="eastAsia" w:ascii="宋体" w:hAnsi="宋体"/>
          <w:b w:val="0"/>
          <w:bCs w:val="0"/>
          <w:sz w:val="24"/>
          <w:szCs w:val="24"/>
          <w:lang w:val="en-US" w:eastAsia="zh-CN"/>
        </w:rPr>
        <w:t>详见采购要求</w:t>
      </w:r>
    </w:p>
    <w:p>
      <w:pPr>
        <w:rPr>
          <w:rFonts w:hint="eastAsia" w:ascii="宋体" w:hAnsi="宋体"/>
          <w:b w:val="0"/>
          <w:bCs w:val="0"/>
          <w:sz w:val="24"/>
          <w:szCs w:val="24"/>
        </w:rPr>
      </w:pPr>
    </w:p>
    <w:p>
      <w:pPr>
        <w:bidi w:val="0"/>
        <w:rPr>
          <w:rFonts w:hint="eastAsia"/>
        </w:rPr>
      </w:pPr>
    </w:p>
    <w:p>
      <w:pPr>
        <w:pStyle w:val="7"/>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3"/>
      <w:r>
        <w:rPr>
          <w:rFonts w:hint="eastAsia" w:ascii="宋体" w:hAnsi="宋体"/>
          <w:b w:val="0"/>
          <w:bCs w:val="0"/>
          <w:sz w:val="24"/>
          <w:szCs w:val="24"/>
        </w:rPr>
        <w:t>1、表格不足可扩展、续填，但不可缺项。</w:t>
      </w:r>
    </w:p>
    <w:p>
      <w:pPr>
        <w:pStyle w:val="7"/>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left="420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both"/>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0"/>
      <w:bookmarkEnd w:id="11"/>
    </w:p>
    <w:p>
      <w:pPr>
        <w:tabs>
          <w:tab w:val="left" w:pos="2415"/>
        </w:tabs>
        <w:autoSpaceDE w:val="0"/>
        <w:autoSpaceDN w:val="0"/>
        <w:adjustRightInd w:val="0"/>
        <w:spacing w:line="640" w:lineRule="exact"/>
        <w:ind w:firstLine="0" w:firstLineChars="0"/>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p>
    <w:p>
      <w:pPr>
        <w:pStyle w:val="12"/>
        <w:spacing w:line="500" w:lineRule="exact"/>
        <w:jc w:val="both"/>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）具备承担和实施本项目的相应能力的承诺函。</w:t>
      </w:r>
      <w:bookmarkStart w:id="14" w:name="_Toc7148"/>
      <w:bookmarkStart w:id="15" w:name="_Toc16025324"/>
    </w:p>
    <w:p>
      <w:pPr>
        <w:pStyle w:val="12"/>
        <w:spacing w:line="500" w:lineRule="exact"/>
        <w:jc w:val="center"/>
        <w:rPr>
          <w:rFonts w:hint="eastAsia" w:ascii="宋体" w:hAnsi="宋体" w:cs="宋体"/>
          <w:b/>
          <w:bCs w:val="0"/>
          <w:kern w:val="0"/>
          <w:sz w:val="30"/>
          <w:szCs w:val="30"/>
          <w:lang w:eastAsia="zh-CN"/>
        </w:rPr>
      </w:pPr>
    </w:p>
    <w:p>
      <w:pPr>
        <w:pStyle w:val="12"/>
        <w:spacing w:line="500" w:lineRule="exact"/>
        <w:jc w:val="both"/>
        <w:rPr>
          <w:rFonts w:hint="default" w:ascii="宋体" w:hAnsi="宋体" w:cs="宋体"/>
          <w:b/>
          <w:bCs w:val="0"/>
          <w:kern w:val="0"/>
          <w:sz w:val="24"/>
          <w:szCs w:val="24"/>
          <w:lang w:val="en-US" w:eastAsia="zh-CN"/>
        </w:rPr>
      </w:pPr>
      <w:r>
        <w:rPr>
          <w:rFonts w:hint="eastAsia" w:ascii="宋体" w:hAnsi="宋体" w:cs="宋体"/>
          <w:b/>
          <w:bCs w:val="0"/>
          <w:kern w:val="0"/>
          <w:sz w:val="24"/>
          <w:szCs w:val="24"/>
          <w:lang w:val="en-US" w:eastAsia="zh-CN"/>
        </w:rPr>
        <w:t>附件：</w:t>
      </w:r>
    </w:p>
    <w:p>
      <w:pPr>
        <w:pStyle w:val="12"/>
        <w:spacing w:line="500" w:lineRule="exact"/>
        <w:jc w:val="center"/>
        <w:rPr>
          <w:rFonts w:hint="eastAsia" w:ascii="宋体" w:hAnsi="宋体" w:cs="宋体"/>
          <w:b/>
          <w:bCs w:val="0"/>
          <w:kern w:val="0"/>
          <w:sz w:val="30"/>
          <w:szCs w:val="30"/>
          <w:lang w:eastAsia="zh-CN"/>
        </w:rPr>
      </w:pPr>
    </w:p>
    <w:p>
      <w:pPr>
        <w:pStyle w:val="12"/>
        <w:spacing w:line="500" w:lineRule="exact"/>
        <w:jc w:val="center"/>
        <w:rPr>
          <w:rFonts w:hint="eastAsia" w:ascii="宋体" w:hAnsi="宋体" w:cs="宋体"/>
          <w:b/>
          <w:bCs w:val="0"/>
          <w:kern w:val="0"/>
          <w:sz w:val="30"/>
          <w:szCs w:val="30"/>
          <w:lang w:eastAsia="zh-CN"/>
        </w:rPr>
      </w:pPr>
      <w:r>
        <w:rPr>
          <w:rFonts w:hint="eastAsia" w:ascii="宋体" w:hAnsi="宋体" w:cs="宋体"/>
          <w:b/>
          <w:bCs w:val="0"/>
          <w:kern w:val="0"/>
          <w:sz w:val="30"/>
          <w:szCs w:val="30"/>
          <w:lang w:eastAsia="zh-CN"/>
        </w:rPr>
        <w:t>承担和实施本项目的相应能力的承诺函</w:t>
      </w:r>
    </w:p>
    <w:p>
      <w:pPr>
        <w:pStyle w:val="12"/>
        <w:spacing w:line="500" w:lineRule="exact"/>
        <w:jc w:val="center"/>
        <w:rPr>
          <w:rFonts w:hint="eastAsia" w:ascii="宋体" w:hAnsi="宋体" w:cs="宋体"/>
          <w:b/>
          <w:bCs w:val="0"/>
          <w:kern w:val="0"/>
          <w:sz w:val="30"/>
          <w:szCs w:val="30"/>
          <w:lang w:eastAsia="zh-CN"/>
        </w:rPr>
      </w:pPr>
    </w:p>
    <w:p>
      <w:pPr>
        <w:pStyle w:val="12"/>
        <w:spacing w:line="50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致：</w:t>
      </w:r>
      <w:r>
        <w:rPr>
          <w:rFonts w:hint="eastAsia" w:ascii="宋体" w:hAnsi="宋体" w:cs="宋体"/>
          <w:color w:val="000000"/>
          <w:sz w:val="24"/>
          <w:szCs w:val="24"/>
          <w:lang w:val="en-US" w:eastAsia="zh-CN"/>
        </w:rPr>
        <w:t>XXXXXXXXXXXXXXXXXXXXX</w:t>
      </w:r>
    </w:p>
    <w:p>
      <w:pPr>
        <w:pStyle w:val="12"/>
        <w:spacing w:line="500" w:lineRule="exact"/>
        <w:ind w:firstLine="480" w:firstLineChars="200"/>
        <w:rPr>
          <w:rFonts w:hint="eastAsia" w:ascii="宋体" w:hAnsi="宋体" w:cs="宋体"/>
          <w:color w:val="000000"/>
          <w:sz w:val="24"/>
          <w:szCs w:val="24"/>
        </w:rPr>
      </w:pPr>
      <w:r>
        <w:rPr>
          <w:sz w:val="24"/>
          <w:szCs w:val="24"/>
        </w:rPr>
        <w:t>我方全面研究了</w:t>
      </w:r>
      <w:r>
        <w:rPr>
          <w:rFonts w:hint="eastAsia" w:ascii="宋体" w:hAnsi="宋体"/>
          <w:color w:val="000000"/>
          <w:sz w:val="24"/>
          <w:szCs w:val="24"/>
          <w:u w:val="single"/>
          <w:lang w:val="en-US" w:eastAsia="zh-CN"/>
        </w:rPr>
        <w:t xml:space="preserve">      </w:t>
      </w:r>
      <w:r>
        <w:rPr>
          <w:rFonts w:hint="eastAsia"/>
          <w:sz w:val="24"/>
          <w:szCs w:val="24"/>
        </w:rPr>
        <w:t>询价</w:t>
      </w:r>
      <w:r>
        <w:rPr>
          <w:sz w:val="24"/>
          <w:szCs w:val="24"/>
        </w:rPr>
        <w:t>文件，</w:t>
      </w:r>
      <w:r>
        <w:rPr>
          <w:rFonts w:hint="eastAsia" w:ascii="宋体" w:hAnsi="宋体" w:cs="宋体"/>
          <w:color w:val="000000"/>
          <w:sz w:val="24"/>
          <w:szCs w:val="24"/>
        </w:rPr>
        <w:t>已完全了解</w:t>
      </w:r>
      <w:r>
        <w:rPr>
          <w:rFonts w:hint="eastAsia" w:ascii="宋体" w:hAnsi="宋体" w:cs="宋体"/>
          <w:color w:val="000000"/>
          <w:sz w:val="24"/>
          <w:szCs w:val="24"/>
          <w:lang w:val="en-US" w:eastAsia="zh-CN"/>
        </w:rPr>
        <w:t>询价</w:t>
      </w:r>
      <w:r>
        <w:rPr>
          <w:rFonts w:hint="eastAsia" w:ascii="宋体" w:hAnsi="宋体" w:cs="宋体"/>
          <w:color w:val="000000"/>
          <w:sz w:val="24"/>
          <w:szCs w:val="24"/>
        </w:rPr>
        <w:t>文件中的</w:t>
      </w:r>
      <w:r>
        <w:rPr>
          <w:rFonts w:hint="eastAsia" w:ascii="宋体" w:hAnsi="宋体" w:cs="宋体"/>
          <w:color w:val="000000"/>
          <w:sz w:val="24"/>
          <w:szCs w:val="24"/>
          <w:lang w:val="en-US" w:eastAsia="zh-CN"/>
        </w:rPr>
        <w:t>采购内容及要求，</w:t>
      </w:r>
      <w:r>
        <w:rPr>
          <w:sz w:val="24"/>
          <w:szCs w:val="24"/>
        </w:rPr>
        <w:t>决定参加贵单位的本项目</w:t>
      </w:r>
      <w:r>
        <w:rPr>
          <w:rFonts w:hint="eastAsia"/>
          <w:sz w:val="24"/>
          <w:szCs w:val="24"/>
        </w:rPr>
        <w:t>询价</w:t>
      </w:r>
      <w:r>
        <w:rPr>
          <w:sz w:val="24"/>
          <w:szCs w:val="24"/>
        </w:rPr>
        <w:t>。</w:t>
      </w:r>
      <w:r>
        <w:rPr>
          <w:rFonts w:hint="eastAsia" w:ascii="宋体" w:hAnsi="宋体" w:cs="宋体"/>
          <w:color w:val="000000"/>
          <w:sz w:val="24"/>
          <w:szCs w:val="24"/>
        </w:rPr>
        <w:t>特郑重承若我方有能力完成本项目。</w:t>
      </w:r>
    </w:p>
    <w:p>
      <w:pPr>
        <w:pStyle w:val="12"/>
        <w:spacing w:line="500" w:lineRule="exact"/>
        <w:ind w:firstLine="480" w:firstLineChars="200"/>
        <w:rPr>
          <w:rFonts w:hint="eastAsia" w:ascii="宋体" w:hAnsi="宋体" w:cs="宋体"/>
          <w:color w:val="000000"/>
          <w:sz w:val="24"/>
          <w:szCs w:val="24"/>
        </w:rPr>
      </w:pPr>
    </w:p>
    <w:p>
      <w:pPr>
        <w:pStyle w:val="12"/>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特此承诺。 </w:t>
      </w:r>
    </w:p>
    <w:p>
      <w:pPr>
        <w:pStyle w:val="4"/>
        <w:rPr>
          <w:color w:val="000000"/>
          <w:sz w:val="24"/>
          <w:szCs w:val="24"/>
        </w:rPr>
      </w:pPr>
    </w:p>
    <w:p>
      <w:pPr>
        <w:pStyle w:val="4"/>
        <w:rPr>
          <w:color w:val="000000"/>
          <w:sz w:val="24"/>
          <w:szCs w:val="24"/>
        </w:rPr>
      </w:pPr>
    </w:p>
    <w:p>
      <w:pPr>
        <w:pStyle w:val="4"/>
        <w:rPr>
          <w:color w:val="000000"/>
          <w:sz w:val="24"/>
          <w:szCs w:val="24"/>
        </w:rPr>
      </w:pPr>
    </w:p>
    <w:p>
      <w:pPr>
        <w:pStyle w:val="12"/>
        <w:spacing w:line="500" w:lineRule="exact"/>
        <w:ind w:firstLine="504" w:firstLineChars="200"/>
        <w:rPr>
          <w:rFonts w:ascii="宋体" w:hAnsi="宋体" w:cs="宋体"/>
          <w:color w:val="000000"/>
          <w:spacing w:val="6"/>
          <w:sz w:val="24"/>
          <w:szCs w:val="24"/>
        </w:rPr>
      </w:pPr>
    </w:p>
    <w:p>
      <w:pPr>
        <w:spacing w:line="360" w:lineRule="auto"/>
        <w:ind w:left="378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 xml:space="preserve">（公章）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2415"/>
        </w:tabs>
        <w:autoSpaceDE w:val="0"/>
        <w:autoSpaceDN w:val="0"/>
        <w:adjustRightInd w:val="0"/>
        <w:spacing w:line="640" w:lineRule="exact"/>
        <w:ind w:firstLine="0" w:firstLineChars="0"/>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0" w:firstLineChars="0"/>
        <w:jc w:val="both"/>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sz w:val="30"/>
          <w:szCs w:val="30"/>
        </w:rPr>
      </w:pPr>
      <w:r>
        <w:rPr>
          <w:rFonts w:hint="eastAsia" w:ascii="宋体" w:hAnsi="宋体"/>
          <w:b/>
          <w:bCs/>
          <w:sz w:val="30"/>
          <w:szCs w:val="30"/>
          <w:lang w:val="en-US" w:eastAsia="zh-CN"/>
        </w:rPr>
        <w:t>六</w:t>
      </w:r>
      <w:r>
        <w:rPr>
          <w:rFonts w:hint="eastAsia" w:ascii="宋体" w:hAnsi="宋体"/>
          <w:b/>
          <w:bCs/>
          <w:sz w:val="30"/>
          <w:szCs w:val="30"/>
        </w:rPr>
        <w:t>、</w:t>
      </w:r>
      <w:bookmarkEnd w:id="14"/>
      <w:bookmarkStart w:id="16" w:name="_Toc20152"/>
      <w:r>
        <w:rPr>
          <w:rFonts w:hint="eastAsia" w:ascii="宋体" w:hAnsi="宋体"/>
          <w:b/>
          <w:color w:val="000000"/>
          <w:sz w:val="30"/>
          <w:szCs w:val="30"/>
        </w:rPr>
        <w:t>企业概况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sz w:val="24"/>
                <w:szCs w:val="24"/>
              </w:rPr>
            </w:pPr>
            <w:r>
              <w:rPr>
                <w:rFonts w:hint="eastAsia" w:ascii="宋体"/>
                <w:sz w:val="24"/>
                <w:szCs w:val="24"/>
              </w:rPr>
              <w:t>供应商全称</w:t>
            </w:r>
          </w:p>
        </w:tc>
        <w:tc>
          <w:tcPr>
            <w:tcW w:w="6768" w:type="dxa"/>
            <w:gridSpan w:val="3"/>
            <w:noWrap w:val="0"/>
            <w:vAlign w:val="center"/>
          </w:tcPr>
          <w:p>
            <w:pPr>
              <w:widowControl/>
              <w:adjustRightInd w:val="0"/>
              <w:snapToGrid w:val="0"/>
              <w:rPr>
                <w:rFonts w:hint="eastAsia" w:ascii="宋体" w:eastAsia="宋体"/>
                <w:sz w:val="24"/>
                <w:szCs w:val="24"/>
                <w:lang w:eastAsia="zh-CN"/>
              </w:rPr>
            </w:pPr>
            <w:r>
              <w:rPr>
                <w:rFonts w:hint="eastAsia" w:ascii="宋体" w:hAnsi="宋体"/>
                <w:bCs/>
                <w:sz w:val="28"/>
                <w:u w:val="non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法定代表人</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经营地址</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企业类型</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注册资本金</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联系人</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电话</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传真</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电子邮箱</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注册地</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hAnsi="宋体"/>
                <w:sz w:val="24"/>
                <w:szCs w:val="24"/>
              </w:rPr>
            </w:pPr>
            <w:r>
              <w:rPr>
                <w:rFonts w:hint="eastAsia" w:ascii="宋体" w:hAnsi="宋体"/>
                <w:sz w:val="24"/>
                <w:szCs w:val="24"/>
              </w:rPr>
              <w:t>注册年份</w:t>
            </w:r>
          </w:p>
        </w:tc>
        <w:tc>
          <w:tcPr>
            <w:tcW w:w="2583" w:type="dxa"/>
            <w:noWrap w:val="0"/>
            <w:vAlign w:val="center"/>
          </w:tcPr>
          <w:p>
            <w:pPr>
              <w:adjustRightInd w:val="0"/>
              <w:snapToGrid w:val="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sz w:val="24"/>
                <w:szCs w:val="24"/>
              </w:rPr>
            </w:pPr>
            <w:r>
              <w:rPr>
                <w:rFonts w:hint="eastAsia" w:ascii="宋体" w:hAnsi="宋体"/>
                <w:sz w:val="24"/>
                <w:szCs w:val="24"/>
              </w:rPr>
              <w:t>经营范围</w:t>
            </w:r>
          </w:p>
        </w:tc>
        <w:tc>
          <w:tcPr>
            <w:tcW w:w="6786" w:type="dxa"/>
            <w:gridSpan w:val="4"/>
            <w:noWrap w:val="0"/>
            <w:vAlign w:val="center"/>
          </w:tcPr>
          <w:p>
            <w:pPr>
              <w:widowControl/>
              <w:adjustRightInd w:val="0"/>
              <w:snapToGrid w:val="0"/>
              <w:jc w:val="left"/>
              <w:rPr>
                <w:rFonts w:ascii="宋体"/>
                <w:sz w:val="24"/>
                <w:szCs w:val="24"/>
              </w:rPr>
            </w:pPr>
          </w:p>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sz w:val="24"/>
                <w:szCs w:val="24"/>
              </w:rPr>
            </w:pPr>
          </w:p>
          <w:p>
            <w:pPr>
              <w:adjustRightInd w:val="0"/>
              <w:snapToGrid w:val="0"/>
              <w:ind w:left="1"/>
              <w:rPr>
                <w:rFonts w:ascii="宋体"/>
                <w:sz w:val="24"/>
                <w:szCs w:val="24"/>
              </w:rPr>
            </w:pPr>
            <w:r>
              <w:rPr>
                <w:rFonts w:hint="eastAsia" w:ascii="宋体" w:hAnsi="宋体"/>
                <w:sz w:val="24"/>
                <w:szCs w:val="24"/>
              </w:rPr>
              <w:t>企业概况描述</w:t>
            </w:r>
          </w:p>
        </w:tc>
      </w:tr>
    </w:tbl>
    <w:p>
      <w:pPr>
        <w:autoSpaceDE w:val="0"/>
        <w:autoSpaceDN w:val="0"/>
        <w:adjustRightInd w:val="0"/>
        <w:spacing w:before="468" w:beforeLines="150" w:after="156" w:afterLines="50" w:line="360" w:lineRule="auto"/>
        <w:jc w:val="center"/>
        <w:rPr>
          <w:rFonts w:ascii="宋体" w:hAnsi="宋体"/>
          <w:b/>
          <w:bCs/>
          <w:sz w:val="30"/>
          <w:szCs w:val="30"/>
        </w:rPr>
      </w:pPr>
    </w:p>
    <w:p>
      <w:pPr>
        <w:spacing w:before="312" w:beforeLines="100" w:line="360" w:lineRule="auto"/>
        <w:rPr>
          <w:rFonts w:hint="eastAsia" w:ascii="宋体" w:hAnsi="宋体" w:cs="宋体"/>
          <w:b/>
          <w:bCs/>
          <w:kern w:val="0"/>
          <w:sz w:val="24"/>
          <w:szCs w:val="24"/>
        </w:rPr>
      </w:pPr>
    </w:p>
    <w:p>
      <w:pPr>
        <w:spacing w:before="312" w:beforeLines="100" w:line="360" w:lineRule="auto"/>
        <w:rPr>
          <w:rFonts w:hint="eastAsia" w:ascii="宋体" w:hAnsi="宋体" w:cs="宋体"/>
          <w:b/>
          <w:bCs/>
          <w:kern w:val="0"/>
          <w:sz w:val="24"/>
          <w:szCs w:val="24"/>
        </w:rPr>
      </w:pP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hint="eastAsia" w:ascii="宋体" w:hAnsi="宋体"/>
          <w:sz w:val="24"/>
        </w:rPr>
        <w:t>供应商</w:t>
      </w:r>
      <w:r>
        <w:rPr>
          <w:rFonts w:ascii="宋体" w:hAnsi="宋体"/>
          <w:sz w:val="24"/>
        </w:rPr>
        <w:t xml:space="preserve">应提供关联企业情况，包括以下内容： </w:t>
      </w:r>
      <w:r>
        <w:rPr>
          <w:rFonts w:ascii="宋体" w:hAnsi="宋体"/>
          <w:sz w:val="24"/>
        </w:rPr>
        <w:br w:type="textWrapping"/>
      </w: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r>
        <w:rPr>
          <w:rFonts w:ascii="宋体" w:hAnsi="宋体"/>
          <w:sz w:val="24"/>
        </w:rPr>
        <w:br w:type="textWrapping"/>
      </w:r>
      <w:r>
        <w:rPr>
          <w:rFonts w:ascii="宋体" w:hAnsi="宋体"/>
          <w:sz w:val="24"/>
        </w:rPr>
        <w:t>(2)存在</w:t>
      </w:r>
      <w:r>
        <w:rPr>
          <w:rFonts w:hint="eastAsia" w:ascii="宋体" w:hAnsi="宋体"/>
          <w:sz w:val="24"/>
          <w:lang w:eastAsia="zh-CN"/>
        </w:rPr>
        <w:t>直接</w:t>
      </w:r>
      <w:r>
        <w:rPr>
          <w:rFonts w:ascii="宋体" w:hAnsi="宋体"/>
          <w:sz w:val="24"/>
        </w:rPr>
        <w:t>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sz w:val="24"/>
        </w:rPr>
        <w:t>注：</w:t>
      </w:r>
      <w:r>
        <w:rPr>
          <w:rFonts w:ascii="宋体" w:hAnsi="宋体"/>
          <w:sz w:val="24"/>
        </w:rPr>
        <w:br w:type="textWrapping"/>
      </w: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r>
        <w:rPr>
          <w:rFonts w:ascii="宋体" w:hAnsi="宋体"/>
          <w:sz w:val="24"/>
        </w:rPr>
        <w:br w:type="textWrapping"/>
      </w: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left="462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left="239" w:leftChars="114" w:firstLine="1680" w:firstLineChars="7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5"/>
    <w:bookmarkEnd w:id="16"/>
    <w:p>
      <w:pPr>
        <w:autoSpaceDE w:val="0"/>
        <w:autoSpaceDN w:val="0"/>
        <w:adjustRightInd w:val="0"/>
        <w:spacing w:before="468" w:beforeLines="150" w:line="360" w:lineRule="auto"/>
        <w:jc w:val="cente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00"/>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OWZhZjEyMzQxYTBiNDkyNmEyMTExN2MwZTY5MmIifQ=="/>
  </w:docVars>
  <w:rsids>
    <w:rsidRoot w:val="552D71C7"/>
    <w:rsid w:val="04F36A0B"/>
    <w:rsid w:val="0AF86F5E"/>
    <w:rsid w:val="0B1B7A89"/>
    <w:rsid w:val="17236A05"/>
    <w:rsid w:val="1A506456"/>
    <w:rsid w:val="246444F3"/>
    <w:rsid w:val="25A22426"/>
    <w:rsid w:val="26FF5E11"/>
    <w:rsid w:val="2C463B7D"/>
    <w:rsid w:val="32973064"/>
    <w:rsid w:val="3D5F5B26"/>
    <w:rsid w:val="4014329F"/>
    <w:rsid w:val="46237CBA"/>
    <w:rsid w:val="4E6E34AD"/>
    <w:rsid w:val="52F21FDA"/>
    <w:rsid w:val="552D71C7"/>
    <w:rsid w:val="5BC85FAE"/>
    <w:rsid w:val="61A93C4A"/>
    <w:rsid w:val="640067C9"/>
    <w:rsid w:val="64D10A3D"/>
    <w:rsid w:val="6EBF142E"/>
    <w:rsid w:val="71CB47A7"/>
    <w:rsid w:val="758633FC"/>
    <w:rsid w:val="77D060B7"/>
    <w:rsid w:val="7E10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toc 3"/>
    <w:basedOn w:val="1"/>
    <w:next w:val="1"/>
    <w:unhideWhenUsed/>
    <w:qFormat/>
    <w:uiPriority w:val="39"/>
    <w:pPr>
      <w:ind w:left="840" w:leftChars="4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line="360" w:lineRule="auto"/>
      <w:jc w:val="center"/>
      <w:outlineLvl w:val="0"/>
    </w:pPr>
    <w:rPr>
      <w:rFonts w:ascii="Cambria" w:hAnsi="Cambria"/>
      <w:b/>
      <w:bCs/>
      <w:sz w:val="36"/>
      <w:szCs w:val="32"/>
    </w:rPr>
  </w:style>
  <w:style w:type="paragraph" w:customStyle="1" w:styleId="10">
    <w:name w:val="BodyText1I2"/>
    <w:basedOn w:val="11"/>
    <w:qFormat/>
    <w:uiPriority w:val="0"/>
    <w:pPr>
      <w:keepNext/>
      <w:keepLines/>
      <w:spacing w:line="380" w:lineRule="exact"/>
      <w:ind w:firstLine="480"/>
      <w:jc w:val="left"/>
    </w:pPr>
    <w:rPr>
      <w:rFonts w:eastAsia="方正书宋简体" w:cs="Times New Roman"/>
      <w:b/>
      <w:bCs/>
      <w:sz w:val="28"/>
      <w:szCs w:val="28"/>
    </w:rPr>
  </w:style>
  <w:style w:type="paragraph" w:customStyle="1" w:styleId="11">
    <w:name w:val="BodyTextIndent"/>
    <w:basedOn w:val="1"/>
    <w:qFormat/>
    <w:uiPriority w:val="0"/>
    <w:pPr>
      <w:ind w:firstLine="200" w:firstLineChars="200"/>
    </w:pPr>
    <w:rPr>
      <w:rFonts w:ascii="仿宋_GB2312" w:eastAsia="仿宋_GB2312"/>
      <w:sz w:val="32"/>
    </w:rPr>
  </w:style>
  <w:style w:type="paragraph" w:customStyle="1" w:styleId="12">
    <w:name w:val="正文_13"/>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16419</Words>
  <Characters>19104</Characters>
  <Lines>0</Lines>
  <Paragraphs>0</Paragraphs>
  <TotalTime>2</TotalTime>
  <ScaleCrop>false</ScaleCrop>
  <LinksUpToDate>false</LinksUpToDate>
  <CharactersWithSpaces>20597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2022-08-17T00:47:00Z</dcterms:created>
  <dc:creator>.</dc:creator>
  <cp:lastModifiedBy>.</cp:lastModifiedBy>
  <cp:lastPrinted>2022-10-18T01:14:00Z</cp:lastPrinted>
  <dcterms:modified xsi:type="dcterms:W3CDTF">2022-11-04T07:05:42Z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D7134E83C74D47D18AFCEE97A2868E22</vt:lpwstr>
  </property>
</Properties>
</file>